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1A98B" w14:textId="58BB2613" w:rsidR="00773280" w:rsidRPr="001431EA" w:rsidRDefault="00773280" w:rsidP="00A300F6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1EA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39E97FB" w14:textId="77777777" w:rsidR="001431EA" w:rsidRPr="001431EA" w:rsidRDefault="001431EA" w:rsidP="00A30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960A2" w14:textId="77777777" w:rsidR="00773280" w:rsidRPr="00DA7017" w:rsidRDefault="005C4228" w:rsidP="00A300F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1EA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obejmuje przygotowanie dokumentacji projektowej </w:t>
      </w:r>
      <w:r w:rsidR="00CB2807">
        <w:rPr>
          <w:rFonts w:ascii="Times New Roman" w:hAnsi="Times New Roman" w:cs="Times New Roman"/>
          <w:b/>
          <w:bCs/>
          <w:sz w:val="24"/>
          <w:szCs w:val="24"/>
        </w:rPr>
        <w:t>dla przebudowy</w:t>
      </w:r>
      <w:r w:rsidR="00A064D1">
        <w:rPr>
          <w:rFonts w:ascii="Times New Roman" w:hAnsi="Times New Roman" w:cs="Times New Roman"/>
          <w:b/>
          <w:bCs/>
          <w:sz w:val="24"/>
          <w:szCs w:val="24"/>
        </w:rPr>
        <w:t xml:space="preserve"> ul. Miodowej</w:t>
      </w:r>
      <w:r w:rsidR="00773280" w:rsidRPr="00DA70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73280">
        <w:rPr>
          <w:rFonts w:ascii="Times New Roman" w:hAnsi="Times New Roman" w:cs="Times New Roman"/>
          <w:b/>
          <w:bCs/>
          <w:sz w:val="24"/>
          <w:szCs w:val="24"/>
        </w:rPr>
        <w:t xml:space="preserve">zgodnie z koncepcją zagospodarowania (załączniki nr </w:t>
      </w:r>
      <w:r w:rsidR="004F1822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A064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182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732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73280" w:rsidRPr="00DA7017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14:paraId="723D08A1" w14:textId="77777777" w:rsidR="00773280" w:rsidRPr="00DA7017" w:rsidRDefault="00773280" w:rsidP="00A300F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A810A44" w14:textId="77777777" w:rsidR="00304DAE" w:rsidRDefault="00773280" w:rsidP="000136A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Przebudowę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jezdni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l.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>Miodowej i pl. Krasińskich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poprzedzoną przygotowaniem koncepcji w wariantach 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>zgodn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koncepcją przedstawioną w zał. 1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2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zależności od wariantu 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>wraz z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budow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zatok postojowych</w:t>
      </w:r>
      <w:r w:rsidR="0015151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>pasów ruchu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rowerów</w:t>
      </w:r>
      <w:r w:rsid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="001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parkingów dla rowerów (stojaków)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3739D42" w14:textId="77777777" w:rsidR="00773280" w:rsidRPr="00304DAE" w:rsidRDefault="009B612B" w:rsidP="00FD0461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Przebudowę</w:t>
      </w:r>
      <w:r w:rsidR="00304DAE" w:rsidRPr="00304DAE">
        <w:rPr>
          <w:rFonts w:ascii="Times New Roman" w:hAnsi="Times New Roman" w:cs="Times New Roman"/>
          <w:sz w:val="24"/>
          <w:szCs w:val="24"/>
        </w:rPr>
        <w:t xml:space="preserve"> </w:t>
      </w:r>
      <w:r w:rsidR="00773280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>chodników po wschodniej i zachodniej stronie jezdni</w:t>
      </w:r>
      <w:r w:rsidR="00304DAE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wraz z </w:t>
      </w:r>
      <w:r w:rsid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wyznaczeniem ścieżek dotykowych i dotykowych znaków ostrzegawczych </w:t>
      </w:r>
      <w:r w:rsidR="00304DAE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(pasów </w:t>
      </w:r>
      <w:r w:rsidR="00304DAE">
        <w:rPr>
          <w:rFonts w:ascii="Times New Roman" w:hAnsi="Times New Roman" w:cs="Times New Roman"/>
          <w:bCs/>
          <w:color w:val="000000"/>
          <w:sz w:val="24"/>
          <w:szCs w:val="24"/>
        </w:rPr>
        <w:t>ostrzegawczych, pasów nawigacyjnych</w:t>
      </w:r>
      <w:r w:rsidR="00304DAE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pól uwagi)</w:t>
      </w:r>
      <w:r w:rsidR="00304DAE">
        <w:rPr>
          <w:rFonts w:ascii="Times New Roman" w:hAnsi="Times New Roman" w:cs="Times New Roman"/>
          <w:bCs/>
          <w:color w:val="000000"/>
          <w:sz w:val="24"/>
          <w:szCs w:val="24"/>
        </w:rPr>
        <w:t>, gwarantujący</w:t>
      </w:r>
      <w:r w:rsidR="00304DAE">
        <w:rPr>
          <w:rFonts w:ascii="Times New Roman" w:hAnsi="Times New Roman" w:cs="Times New Roman"/>
          <w:sz w:val="24"/>
          <w:szCs w:val="24"/>
        </w:rPr>
        <w:t xml:space="preserve"> wygodny i bezpieczny ruch pieszy w zakresie geometrii rozwiązań i jakości przestrzeni pieszych</w:t>
      </w:r>
      <w:r w:rsidR="00773280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564BC8C" w14:textId="77777777" w:rsidR="00773280" w:rsidRDefault="00773280" w:rsidP="000136A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Przebudowę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>skrzyżowań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zależności od wariantu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polegającą na:</w:t>
      </w:r>
    </w:p>
    <w:p w14:paraId="34A24351" w14:textId="77777777" w:rsidR="00773280" w:rsidRDefault="00773280" w:rsidP="00D3647F">
      <w:pPr>
        <w:pStyle w:val="Akapitzlist"/>
        <w:numPr>
          <w:ilvl w:val="3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zmianie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geometrii i 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przekroju wlotów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>na skrzyżowania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FFD4906" w14:textId="77777777" w:rsidR="00CB2807" w:rsidRDefault="00773280" w:rsidP="00D3647F">
      <w:pPr>
        <w:pStyle w:val="Akapitzlist"/>
        <w:numPr>
          <w:ilvl w:val="3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zaprojektowani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wyniesionych 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przejść dla pieszych</w:t>
      </w:r>
      <w:r w:rsidR="00CB2807">
        <w:rPr>
          <w:rFonts w:ascii="Times New Roman" w:hAnsi="Times New Roman" w:cs="Times New Roman"/>
          <w:bCs/>
          <w:color w:val="000000"/>
          <w:sz w:val="24"/>
          <w:szCs w:val="24"/>
        </w:rPr>
        <w:t>, z nawierzchnią nawiązującą do nawierzchni chodników,</w:t>
      </w:r>
    </w:p>
    <w:p w14:paraId="2F2FDD2A" w14:textId="5A1FBD52" w:rsidR="001C2D1A" w:rsidRDefault="00CB2807" w:rsidP="00D3647F">
      <w:pPr>
        <w:pStyle w:val="Akapitzlist"/>
        <w:numPr>
          <w:ilvl w:val="3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zmianie organizacji ruchu</w:t>
      </w:r>
      <w:r w:rsidR="001C2D1A" w:rsidRPr="00D3647F">
        <w:rPr>
          <w:rFonts w:ascii="Times New Roman" w:hAnsi="Times New Roman" w:cs="Times New Roman"/>
          <w:sz w:val="24"/>
          <w:szCs w:val="24"/>
        </w:rPr>
        <w:t xml:space="preserve">, </w:t>
      </w:r>
      <w:r w:rsidR="001C2D1A">
        <w:rPr>
          <w:rFonts w:ascii="Times New Roman" w:hAnsi="Times New Roman" w:cs="Times New Roman"/>
          <w:sz w:val="24"/>
          <w:szCs w:val="24"/>
        </w:rPr>
        <w:t xml:space="preserve">także w zakresie obszarowym, obejmującym ulice prostopadłe i równoległe (np. ul. Podwale), </w:t>
      </w:r>
      <w:r w:rsidR="001C2D1A" w:rsidRPr="00D3647F">
        <w:rPr>
          <w:rFonts w:ascii="Times New Roman" w:hAnsi="Times New Roman" w:cs="Times New Roman"/>
          <w:sz w:val="24"/>
          <w:szCs w:val="24"/>
        </w:rPr>
        <w:t xml:space="preserve">w zależności od oczekiwań </w:t>
      </w:r>
      <w:r w:rsidR="001C2D1A">
        <w:rPr>
          <w:rFonts w:ascii="Times New Roman" w:hAnsi="Times New Roman" w:cs="Times New Roman"/>
          <w:sz w:val="24"/>
          <w:szCs w:val="24"/>
        </w:rPr>
        <w:t>Inżyniera Ruchu m. st. Warszawy,</w:t>
      </w:r>
    </w:p>
    <w:p w14:paraId="42E759C6" w14:textId="5A44597E" w:rsidR="00773280" w:rsidRPr="00D3647F" w:rsidRDefault="00773280" w:rsidP="00D3647F">
      <w:pPr>
        <w:pStyle w:val="Akapitzlist"/>
        <w:numPr>
          <w:ilvl w:val="3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 xml:space="preserve">dostosowanie istniejących lokalizacji masztów sygnalizacyjnych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7017">
        <w:rPr>
          <w:rFonts w:ascii="Times New Roman" w:hAnsi="Times New Roman" w:cs="Times New Roman"/>
          <w:sz w:val="24"/>
          <w:szCs w:val="24"/>
        </w:rPr>
        <w:t xml:space="preserve"> sygnalizatorów do spełnienia wymagań skrajni poziomej i pionowej</w:t>
      </w:r>
      <w:r>
        <w:rPr>
          <w:rFonts w:ascii="Times New Roman" w:hAnsi="Times New Roman" w:cs="Times New Roman"/>
          <w:sz w:val="24"/>
          <w:szCs w:val="24"/>
        </w:rPr>
        <w:t xml:space="preserve"> oraz zaprojektowaniu nowych programów sygnalizacji świetlnej</w:t>
      </w:r>
      <w:r w:rsidR="00CB2807">
        <w:rPr>
          <w:rFonts w:ascii="Times New Roman" w:hAnsi="Times New Roman" w:cs="Times New Roman"/>
          <w:sz w:val="24"/>
          <w:szCs w:val="24"/>
        </w:rPr>
        <w:t xml:space="preserve"> lub likwidacją sygnalizacji świetlnej</w:t>
      </w:r>
      <w:r w:rsidRPr="00D3647F">
        <w:rPr>
          <w:rFonts w:ascii="Times New Roman" w:hAnsi="Times New Roman" w:cs="Times New Roman"/>
          <w:sz w:val="24"/>
          <w:szCs w:val="24"/>
        </w:rPr>
        <w:t xml:space="preserve">, w zależności od oczekiwań </w:t>
      </w:r>
      <w:r>
        <w:rPr>
          <w:rFonts w:ascii="Times New Roman" w:hAnsi="Times New Roman" w:cs="Times New Roman"/>
          <w:sz w:val="24"/>
          <w:szCs w:val="24"/>
        </w:rPr>
        <w:t>Inżyniera Ruchu m. st. Warszawy,</w:t>
      </w:r>
    </w:p>
    <w:p w14:paraId="406BDEAA" w14:textId="77777777" w:rsidR="00773280" w:rsidRDefault="00773280" w:rsidP="00D3647F">
      <w:pPr>
        <w:pStyle w:val="Akapitzlist"/>
        <w:numPr>
          <w:ilvl w:val="3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korek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DA7017">
        <w:rPr>
          <w:rFonts w:ascii="Times New Roman" w:hAnsi="Times New Roman" w:cs="Times New Roman"/>
          <w:sz w:val="24"/>
          <w:szCs w:val="24"/>
        </w:rPr>
        <w:t xml:space="preserve"> wysokościow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A7017">
        <w:rPr>
          <w:rFonts w:ascii="Times New Roman" w:hAnsi="Times New Roman" w:cs="Times New Roman"/>
          <w:sz w:val="24"/>
          <w:szCs w:val="24"/>
        </w:rPr>
        <w:t xml:space="preserve"> </w:t>
      </w:r>
      <w:r w:rsidR="00CB2807">
        <w:rPr>
          <w:rFonts w:ascii="Times New Roman" w:hAnsi="Times New Roman" w:cs="Times New Roman"/>
          <w:sz w:val="24"/>
          <w:szCs w:val="24"/>
        </w:rPr>
        <w:t>celem zapewnienia sprawnego odprowadzenia wód opadowych i lokalizacji wpustów przed przejściem dla pieszych od strony napływu wody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54A0284" w14:textId="77777777" w:rsidR="00773280" w:rsidRPr="00DA7017" w:rsidRDefault="00773280" w:rsidP="00494D29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Za</w:t>
      </w:r>
      <w:r w:rsidR="00CE0AE0">
        <w:rPr>
          <w:rFonts w:ascii="Times New Roman" w:hAnsi="Times New Roman" w:cs="Times New Roman"/>
          <w:sz w:val="24"/>
          <w:szCs w:val="24"/>
        </w:rPr>
        <w:t>projektowanie</w:t>
      </w:r>
      <w:r w:rsidRPr="00DA7017">
        <w:rPr>
          <w:rFonts w:ascii="Times New Roman" w:hAnsi="Times New Roman" w:cs="Times New Roman"/>
          <w:sz w:val="24"/>
          <w:szCs w:val="24"/>
        </w:rPr>
        <w:t xml:space="preserve"> małej architektu</w:t>
      </w:r>
      <w:r>
        <w:rPr>
          <w:rFonts w:ascii="Times New Roman" w:hAnsi="Times New Roman" w:cs="Times New Roman"/>
          <w:sz w:val="24"/>
          <w:szCs w:val="24"/>
        </w:rPr>
        <w:t>ry</w:t>
      </w:r>
      <w:r w:rsidR="007F62E5">
        <w:rPr>
          <w:rFonts w:ascii="Times New Roman" w:hAnsi="Times New Roman" w:cs="Times New Roman"/>
          <w:sz w:val="24"/>
          <w:szCs w:val="24"/>
        </w:rPr>
        <w:t xml:space="preserve"> oraz kolorystyki i faktury nawierzchni jezdni i chodników w nawiązaniu do rozwiązań Krakowskiego Przedmieścia i otaczających budynków</w:t>
      </w:r>
      <w:r w:rsidRPr="00DA7017">
        <w:rPr>
          <w:rFonts w:ascii="Times New Roman" w:hAnsi="Times New Roman" w:cs="Times New Roman"/>
          <w:sz w:val="24"/>
          <w:szCs w:val="24"/>
        </w:rPr>
        <w:t>.</w:t>
      </w:r>
    </w:p>
    <w:p w14:paraId="034F44DE" w14:textId="77777777" w:rsidR="00773280" w:rsidRDefault="00773280" w:rsidP="00494D29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Zaprojektowanie zieleni wysokiej i niskiej, </w:t>
      </w:r>
      <w:r w:rsidR="00CE0AE0">
        <w:rPr>
          <w:rFonts w:ascii="Times New Roman" w:hAnsi="Times New Roman" w:cs="Times New Roman"/>
          <w:sz w:val="24"/>
          <w:szCs w:val="24"/>
        </w:rPr>
        <w:t>w szczególności posadowionych w </w:t>
      </w:r>
      <w:r>
        <w:rPr>
          <w:rFonts w:ascii="Times New Roman" w:hAnsi="Times New Roman" w:cs="Times New Roman"/>
          <w:sz w:val="24"/>
          <w:szCs w:val="24"/>
        </w:rPr>
        <w:t>gruncie szpalerów drzew po obu stronach jezdni.</w:t>
      </w:r>
    </w:p>
    <w:p w14:paraId="635C3509" w14:textId="563706FB" w:rsidR="003D0EF7" w:rsidRDefault="00043A67" w:rsidP="00043A67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ekspertyzy stanu nawierzchni </w:t>
      </w:r>
      <w:r w:rsidR="00F53DF5">
        <w:rPr>
          <w:rFonts w:ascii="Times New Roman" w:hAnsi="Times New Roman" w:cs="Times New Roman"/>
          <w:sz w:val="24"/>
          <w:szCs w:val="24"/>
        </w:rPr>
        <w:t xml:space="preserve">jezdni </w:t>
      </w:r>
      <w:r>
        <w:rPr>
          <w:rFonts w:ascii="Times New Roman" w:hAnsi="Times New Roman" w:cs="Times New Roman"/>
          <w:sz w:val="24"/>
          <w:szCs w:val="24"/>
        </w:rPr>
        <w:t>ul. Krakowskie Przedmieście wraz z analizą dokumentacji projektowej nawierzchni, określenie błędów projektowych i wykonawczych, a następnie zaprojektowanie</w:t>
      </w:r>
      <w:r w:rsidR="007C0953">
        <w:rPr>
          <w:rFonts w:ascii="Times New Roman" w:hAnsi="Times New Roman" w:cs="Times New Roman"/>
          <w:sz w:val="24"/>
          <w:szCs w:val="24"/>
        </w:rPr>
        <w:t xml:space="preserve"> </w:t>
      </w:r>
      <w:r w:rsidR="007F62E5">
        <w:rPr>
          <w:rFonts w:ascii="Times New Roman" w:hAnsi="Times New Roman" w:cs="Times New Roman"/>
          <w:sz w:val="24"/>
          <w:szCs w:val="24"/>
        </w:rPr>
        <w:t xml:space="preserve">konstrukcji nawierzchni jezdni </w:t>
      </w:r>
      <w:r>
        <w:rPr>
          <w:rFonts w:ascii="Times New Roman" w:hAnsi="Times New Roman" w:cs="Times New Roman"/>
          <w:sz w:val="24"/>
          <w:szCs w:val="24"/>
        </w:rPr>
        <w:t xml:space="preserve">ul. Miodowej </w:t>
      </w:r>
      <w:r w:rsidR="007F62E5">
        <w:rPr>
          <w:rFonts w:ascii="Times New Roman" w:hAnsi="Times New Roman" w:cs="Times New Roman"/>
          <w:sz w:val="24"/>
          <w:szCs w:val="24"/>
        </w:rPr>
        <w:t>w co najmniej dwóch wariantach, tj. w wariancie zakładającym nawierzchnię bitumiczną oraz w wariancie zakładającym nawierzchnię z kostki kamiennej</w:t>
      </w:r>
      <w:r w:rsidR="00962B32">
        <w:rPr>
          <w:rFonts w:ascii="Times New Roman" w:hAnsi="Times New Roman" w:cs="Times New Roman"/>
          <w:sz w:val="24"/>
          <w:szCs w:val="24"/>
        </w:rPr>
        <w:t>, wraz z wytycznymi do prowadzenia prac budowlanych</w:t>
      </w:r>
      <w:r w:rsidR="00773280" w:rsidRPr="00DA70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Ekspertyza powinna zakładać wykonanie od</w:t>
      </w:r>
      <w:r w:rsidR="007F6139">
        <w:rPr>
          <w:rFonts w:ascii="Times New Roman" w:hAnsi="Times New Roman" w:cs="Times New Roman"/>
          <w:sz w:val="24"/>
          <w:szCs w:val="24"/>
        </w:rPr>
        <w:t>krywek</w:t>
      </w:r>
      <w:r>
        <w:rPr>
          <w:rFonts w:ascii="Times New Roman" w:hAnsi="Times New Roman" w:cs="Times New Roman"/>
          <w:sz w:val="24"/>
          <w:szCs w:val="24"/>
        </w:rPr>
        <w:t xml:space="preserve"> kontrolnych jezdni ul. Krakowskie Przedmieście</w:t>
      </w:r>
      <w:r w:rsidR="003D0EF7">
        <w:rPr>
          <w:rFonts w:ascii="Times New Roman" w:hAnsi="Times New Roman" w:cs="Times New Roman"/>
          <w:sz w:val="24"/>
          <w:szCs w:val="24"/>
        </w:rPr>
        <w:t>,</w:t>
      </w:r>
      <w:r w:rsidR="003D0EF7" w:rsidRPr="003D0EF7">
        <w:rPr>
          <w:rFonts w:ascii="Times New Roman" w:hAnsi="Times New Roman" w:cs="Times New Roman"/>
          <w:sz w:val="24"/>
          <w:szCs w:val="24"/>
        </w:rPr>
        <w:t xml:space="preserve"> </w:t>
      </w:r>
      <w:r w:rsidR="003D0EF7">
        <w:rPr>
          <w:rFonts w:ascii="Times New Roman" w:hAnsi="Times New Roman" w:cs="Times New Roman"/>
          <w:sz w:val="24"/>
          <w:szCs w:val="24"/>
        </w:rPr>
        <w:t>w</w:t>
      </w:r>
      <w:r w:rsidR="003D0EF7">
        <w:rPr>
          <w:rFonts w:ascii="Times New Roman" w:hAnsi="Times New Roman" w:cs="Times New Roman"/>
          <w:sz w:val="24"/>
          <w:szCs w:val="24"/>
        </w:rPr>
        <w:t xml:space="preserve"> </w:t>
      </w:r>
      <w:r w:rsidR="003D0EF7">
        <w:rPr>
          <w:rFonts w:ascii="Times New Roman" w:hAnsi="Times New Roman" w:cs="Times New Roman"/>
          <w:sz w:val="24"/>
          <w:szCs w:val="24"/>
        </w:rPr>
        <w:t>co najmniej trzech lokalizacjach</w:t>
      </w:r>
      <w:r w:rsidR="003D0EF7">
        <w:rPr>
          <w:rFonts w:ascii="Times New Roman" w:hAnsi="Times New Roman" w:cs="Times New Roman"/>
          <w:sz w:val="24"/>
          <w:szCs w:val="24"/>
        </w:rPr>
        <w:t xml:space="preserve"> uzgodnionych z Zamawiającym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3DF5">
        <w:rPr>
          <w:rFonts w:ascii="Times New Roman" w:hAnsi="Times New Roman" w:cs="Times New Roman"/>
          <w:sz w:val="24"/>
          <w:szCs w:val="24"/>
        </w:rPr>
        <w:t>ewentualnie</w:t>
      </w:r>
      <w:r>
        <w:rPr>
          <w:rFonts w:ascii="Times New Roman" w:hAnsi="Times New Roman" w:cs="Times New Roman"/>
          <w:sz w:val="24"/>
          <w:szCs w:val="24"/>
        </w:rPr>
        <w:t xml:space="preserve"> wykonanie a</w:t>
      </w:r>
      <w:r w:rsidRPr="00043A67">
        <w:rPr>
          <w:rFonts w:ascii="Times New Roman" w:hAnsi="Times New Roman" w:cs="Times New Roman"/>
          <w:sz w:val="24"/>
          <w:szCs w:val="24"/>
        </w:rPr>
        <w:t>naliz mechanistyczn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43A67">
        <w:rPr>
          <w:rFonts w:ascii="Times New Roman" w:hAnsi="Times New Roman" w:cs="Times New Roman"/>
          <w:sz w:val="24"/>
          <w:szCs w:val="24"/>
        </w:rPr>
        <w:t xml:space="preserve"> i trwałości konstrukcji </w:t>
      </w:r>
      <w:r>
        <w:rPr>
          <w:rFonts w:ascii="Times New Roman" w:hAnsi="Times New Roman" w:cs="Times New Roman"/>
          <w:sz w:val="24"/>
          <w:szCs w:val="24"/>
        </w:rPr>
        <w:t xml:space="preserve">projektowanych wariantów </w:t>
      </w:r>
      <w:r w:rsidRPr="00043A67">
        <w:rPr>
          <w:rFonts w:ascii="Times New Roman" w:hAnsi="Times New Roman" w:cs="Times New Roman"/>
          <w:sz w:val="24"/>
          <w:szCs w:val="24"/>
        </w:rPr>
        <w:t>nawierzchni jezdni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1B3FF" w14:textId="2172972B" w:rsidR="00773280" w:rsidRDefault="003D0EF7" w:rsidP="00043A67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Odebrane przez Zamawiającego w</w:t>
      </w:r>
      <w:r w:rsidR="007F6139">
        <w:rPr>
          <w:rFonts w:ascii="Times New Roman" w:hAnsi="Times New Roman" w:cs="Times New Roman"/>
          <w:sz w:val="24"/>
          <w:szCs w:val="24"/>
        </w:rPr>
        <w:t>yniki ekspertyzy będą podstawą do wykonania projektów konstrukcji nawierzchni ul. Miodowej i pl. Krasińskich.</w:t>
      </w:r>
    </w:p>
    <w:p w14:paraId="2932EBB9" w14:textId="77777777" w:rsidR="007F62E5" w:rsidRDefault="007F62E5" w:rsidP="00F00463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i prognozę hałasu w zależności od wariantu konstrukcji nawierzchni jezdni.</w:t>
      </w:r>
    </w:p>
    <w:p w14:paraId="2189D786" w14:textId="77777777" w:rsidR="007F62E5" w:rsidRDefault="007F62E5" w:rsidP="00F00463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Analizę </w:t>
      </w:r>
      <w:r w:rsidR="00043A67">
        <w:rPr>
          <w:rFonts w:ascii="Times New Roman" w:hAnsi="Times New Roman" w:cs="Times New Roman"/>
          <w:sz w:val="24"/>
          <w:szCs w:val="24"/>
        </w:rPr>
        <w:t xml:space="preserve">i prognozę </w:t>
      </w:r>
      <w:r>
        <w:rPr>
          <w:rFonts w:ascii="Times New Roman" w:hAnsi="Times New Roman" w:cs="Times New Roman"/>
          <w:sz w:val="24"/>
          <w:szCs w:val="24"/>
        </w:rPr>
        <w:t xml:space="preserve">kosztów realizacji </w:t>
      </w:r>
      <w:r w:rsidR="00043A67">
        <w:rPr>
          <w:rFonts w:ascii="Times New Roman" w:hAnsi="Times New Roman" w:cs="Times New Roman"/>
          <w:sz w:val="24"/>
          <w:szCs w:val="24"/>
        </w:rPr>
        <w:t xml:space="preserve">i utrzymania </w:t>
      </w:r>
      <w:r>
        <w:rPr>
          <w:rFonts w:ascii="Times New Roman" w:hAnsi="Times New Roman" w:cs="Times New Roman"/>
          <w:sz w:val="24"/>
          <w:szCs w:val="24"/>
        </w:rPr>
        <w:t>poszczególnych wariantów konstrukcji nawierzchni jezdni.</w:t>
      </w:r>
    </w:p>
    <w:p w14:paraId="586C0700" w14:textId="77777777" w:rsidR="001431EA" w:rsidRPr="00DA7017" w:rsidRDefault="001431EA" w:rsidP="00A300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56E0E" w14:textId="77777777" w:rsidR="00773280" w:rsidRPr="00DA7017" w:rsidRDefault="00773280" w:rsidP="00A300F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017">
        <w:rPr>
          <w:rFonts w:ascii="Times New Roman" w:hAnsi="Times New Roman" w:cs="Times New Roman"/>
          <w:b/>
          <w:bCs/>
          <w:sz w:val="24"/>
          <w:szCs w:val="24"/>
        </w:rPr>
        <w:t>HARMONOGRAM PRAC</w:t>
      </w:r>
    </w:p>
    <w:p w14:paraId="3F6BEDDF" w14:textId="77777777" w:rsidR="00773280" w:rsidRPr="00DA7017" w:rsidRDefault="00773280" w:rsidP="00A300F6">
      <w:pPr>
        <w:pStyle w:val="Akapitzlist"/>
        <w:numPr>
          <w:ilvl w:val="1"/>
          <w:numId w:val="14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Prace przygotowawcze – zakończenie 2 miesiące od </w:t>
      </w:r>
      <w:r w:rsidR="005E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rozpoczęcia wykonywania Przedmiotu umowy</w:t>
      </w:r>
    </w:p>
    <w:p w14:paraId="2A91553C" w14:textId="1EB3B452" w:rsidR="00773280" w:rsidRPr="00DA7017" w:rsidRDefault="00F53DF5" w:rsidP="00A300F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Inwentaryzacja </w:t>
      </w:r>
      <w:r w:rsidR="00773280" w:rsidRPr="00DA7017">
        <w:rPr>
          <w:rFonts w:ascii="Times New Roman" w:hAnsi="Times New Roman" w:cs="Times New Roman"/>
          <w:sz w:val="24"/>
          <w:szCs w:val="24"/>
        </w:rPr>
        <w:t>stanu istniejącego, ze szczególnym uwzględnieniem lokalizacji elementów stojących w kolizji z projektowanymi rozwiązaniami (np. obiektów mostowych, latarni, wiat, kiosków, słupów sygnalizacji świetlnej, włazów, wpustów itp.). Zamawiający zastrzega sobie prawo do udziału w inwentaryzacji.</w:t>
      </w:r>
    </w:p>
    <w:p w14:paraId="247FB4BE" w14:textId="77777777" w:rsidR="00773280" w:rsidRPr="005F06C4" w:rsidRDefault="00773280" w:rsidP="00020E1D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Szczegółowa inwentaryzacja zieleni (drzewa, krzewy, wiek, obwód, stan zdrowia, posusz, system korzeniowy, zasięg i rzędne spodu korony itp.)</w:t>
      </w:r>
      <w:r w:rsidR="00020E1D">
        <w:rPr>
          <w:rFonts w:ascii="Times New Roman" w:hAnsi="Times New Roman" w:cs="Times New Roman"/>
          <w:sz w:val="24"/>
          <w:szCs w:val="24"/>
        </w:rPr>
        <w:t xml:space="preserve">. </w:t>
      </w:r>
      <w:r w:rsidR="00020E1D" w:rsidRPr="00DA7017">
        <w:rPr>
          <w:rFonts w:ascii="Times New Roman" w:hAnsi="Times New Roman" w:cs="Times New Roman"/>
          <w:sz w:val="24"/>
          <w:szCs w:val="24"/>
        </w:rPr>
        <w:t>Zamawiający zastrzega sobie prawo do udziału w inwentaryzacji.</w:t>
      </w:r>
    </w:p>
    <w:p w14:paraId="52459D9C" w14:textId="77777777" w:rsidR="00773280" w:rsidRPr="00DA7017" w:rsidRDefault="00773280" w:rsidP="00A300F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Przygotowanie mapy do celów projektowych (Zamawiający przekaże mapy zasadnicze z zasobu BGiK, z zastrzeżeniem, że mogą one posłużyć wyłącznie do celu przygotowania projektu będącego przedmiotem Umowy). Mapa do celów projektowych ma być przekazana Zamawiającemu w formie elektronicznej.</w:t>
      </w:r>
    </w:p>
    <w:p w14:paraId="53BC598A" w14:textId="77777777" w:rsidR="00773280" w:rsidRPr="00DA7017" w:rsidRDefault="00773280" w:rsidP="00095C97">
      <w:pPr>
        <w:pStyle w:val="Akapitzlist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Uzyskanie warunków technicznych dla budowy lub przebudowy niezbędnej infrastruktury technicznej.</w:t>
      </w:r>
    </w:p>
    <w:p w14:paraId="7BC3E43D" w14:textId="77777777" w:rsidR="00773280" w:rsidRPr="00F53DF5" w:rsidRDefault="00773280" w:rsidP="00095C97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Uzyskanie informacji o zajęciach terenu, umowach, gwarancjach, wydanych decyzjach na przebudowę pasa drogowego itp. od zarządców pasa drogowego.</w:t>
      </w:r>
    </w:p>
    <w:p w14:paraId="031527E6" w14:textId="77C37D11" w:rsidR="00F53DF5" w:rsidRPr="00F53DF5" w:rsidRDefault="00F53DF5" w:rsidP="00095C97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ekspertyzy stanu nawierzchni jezdni ul. Krakowskie Przedmieście wraz z analizą dokumentacji projektowej nawierzchni oraz wykonanie analizy i prognozy hałasu.</w:t>
      </w:r>
    </w:p>
    <w:p w14:paraId="12837E07" w14:textId="625A9935" w:rsidR="00F53DF5" w:rsidRPr="00DA7017" w:rsidRDefault="00442D90" w:rsidP="00F53DF5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Złożenie</w:t>
      </w:r>
      <w:r w:rsidR="00F53DF5"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dwóch wariantów do </w:t>
      </w:r>
      <w:r w:rsidR="00F53DF5"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opinii do geometrii Inżyniera Ruchu m. st. Warszawy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uzyskanie opinii</w:t>
      </w:r>
      <w:r w:rsidR="00F53DF5"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2517E196" w14:textId="77777777" w:rsidR="00773280" w:rsidRPr="001431EA" w:rsidRDefault="00773280" w:rsidP="001431E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3600D9" w14:textId="77777777" w:rsidR="00773280" w:rsidRPr="00DA7017" w:rsidRDefault="00773280" w:rsidP="00095C97">
      <w:pPr>
        <w:pStyle w:val="Akapitzlist"/>
        <w:numPr>
          <w:ilvl w:val="1"/>
          <w:numId w:val="14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Prace projektowe – etap I – zakończenie </w:t>
      </w:r>
      <w:r w:rsidR="00C8032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miesi</w:t>
      </w:r>
      <w:r w:rsidR="00C266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ące</w:t>
      </w: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od </w:t>
      </w:r>
      <w:r w:rsidR="005E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rozpoczęcia wykonywania Przedmiotu umowy</w:t>
      </w:r>
    </w:p>
    <w:p w14:paraId="52CB5800" w14:textId="77777777" w:rsidR="00773280" w:rsidRPr="00DA7017" w:rsidRDefault="00773280" w:rsidP="00095C97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projektu zagospodarowania terenu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(PZT)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zawierającego elementy projektowane oraz pełną informację na temat istniejących elementów w pasie drogowym, w szczególności zwymiarowane elementy infrastruktury, sieci, zieleń, rozwiązania wysokościowe itp. PZT zostanie złożony do wstępnego zaopiniowania 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Zarządu Dróg Miejskich (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ZDM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ZDM przekaże uwagi w ciągu 7 dni kalendarzowych, następnie zorganizuje spotkanie informacyjne w ciągu 14 dni kalendarzowych.</w:t>
      </w:r>
    </w:p>
    <w:p w14:paraId="5DFBE9AA" w14:textId="77777777" w:rsidR="00773280" w:rsidRDefault="00773280" w:rsidP="0067067B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Uczestnictwo w spotkaniu informacyjnym dla mieszkańców zorganizowanym przez Zamawiającego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 przygotowanie materiałów </w:t>
      </w:r>
      <w:r w:rsidRPr="0067067B">
        <w:rPr>
          <w:rFonts w:ascii="Times New Roman" w:hAnsi="Times New Roman" w:cs="Times New Roman"/>
          <w:color w:val="000000"/>
          <w:spacing w:val="-1"/>
          <w:sz w:val="24"/>
          <w:szCs w:val="24"/>
        </w:rPr>
        <w:t>informacyjnych (</w:t>
      </w:r>
      <w:r w:rsidR="005255AA">
        <w:rPr>
          <w:rFonts w:ascii="Times New Roman" w:hAnsi="Times New Roman" w:cs="Times New Roman"/>
          <w:color w:val="000000"/>
          <w:spacing w:val="-1"/>
          <w:sz w:val="24"/>
          <w:szCs w:val="24"/>
        </w:rPr>
        <w:t>PZT</w:t>
      </w:r>
      <w:r w:rsidR="002D3B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67067B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przekroj</w:t>
      </w:r>
      <w:r w:rsidR="002D3BC8">
        <w:rPr>
          <w:rFonts w:ascii="Times New Roman" w:hAnsi="Times New Roman" w:cs="Times New Roman"/>
          <w:color w:val="000000"/>
          <w:spacing w:val="-1"/>
          <w:sz w:val="24"/>
          <w:szCs w:val="24"/>
        </w:rPr>
        <w:t>e poprzeczne</w:t>
      </w:r>
      <w:r w:rsidRPr="006706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ulicy).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Wykonawca wyraża zgodę na upublicznienie za pomocą powszechnie dostępnych kanałów informacyjnych dokumentacji projektowej przygotowanej na spotkanie informacyjne.</w:t>
      </w:r>
    </w:p>
    <w:p w14:paraId="24400DA7" w14:textId="77777777" w:rsidR="00773280" w:rsidRPr="00DA7017" w:rsidRDefault="00773280" w:rsidP="006F518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Złożenie projektu zagospodarowania terenu do </w:t>
      </w:r>
      <w:r w:rsidR="002D7EE6">
        <w:rPr>
          <w:rFonts w:ascii="Times New Roman" w:hAnsi="Times New Roman" w:cs="Times New Roman"/>
          <w:color w:val="000000"/>
          <w:spacing w:val="-1"/>
          <w:sz w:val="24"/>
          <w:szCs w:val="24"/>
        </w:rPr>
        <w:t>zaopiniowania przez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Wydział Estetyki Przestrzeni Publicznej </w:t>
      </w:r>
      <w:r w:rsidR="00C266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 Biuro Stołecznego Konserwatora Zabytków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(w zakresie projektowanych rozwiązań, w szczególności w zakresie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geometrii, kompozycji i materiałów przestrzeni pieszych</w:t>
      </w:r>
      <w:r w:rsidR="00C266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nawierzchni jezdni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elementów małej architektury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zieleni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, rodzaju wygrodzeń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itp.),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Pełnomocnik</w:t>
      </w:r>
      <w:r w:rsidR="002D7EE6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Prezydenta m. st. Warszawy ds. zieleni</w:t>
      </w:r>
      <w:r w:rsidR="00C266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Zarząd Transportu Miejskiego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485892EA" w14:textId="77777777"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Złożenie projektu zagospodarowania terenu do opinii do geometrii Inżyniera Ruchu m. st. Warszawy.</w:t>
      </w:r>
    </w:p>
    <w:p w14:paraId="0908ED48" w14:textId="77777777" w:rsidR="00773280" w:rsidRPr="00DA7017" w:rsidRDefault="00773280" w:rsidP="00AB555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i złożenie do uzgodnienia z zarządcą (zarządcami) zieleni projektu gospodarki zielenią.</w:t>
      </w:r>
    </w:p>
    <w:p w14:paraId="3683A791" w14:textId="2188403D" w:rsidR="00773280" w:rsidRDefault="00773280" w:rsidP="006F518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Przygotowanie i złożenie do uzgodnienia z zarządcą drogi przekrojów </w:t>
      </w:r>
      <w:r w:rsidR="00F53DF5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konstrukcji nawierzchni</w:t>
      </w:r>
      <w:r w:rsidR="00C83F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 analizy kosztów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3062E75C" w14:textId="77777777" w:rsidR="00773280" w:rsidRPr="00DA7017" w:rsidRDefault="00773280" w:rsidP="00AB555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5D528AAA" w14:textId="77777777" w:rsidR="00773280" w:rsidRPr="00DA7017" w:rsidRDefault="00773280" w:rsidP="001A5E40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Prace projektowe – etap II </w:t>
      </w: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– zakończenie </w:t>
      </w:r>
      <w:r w:rsidR="00C8032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</w:t>
      </w: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miesięcy od </w:t>
      </w:r>
      <w:r w:rsidR="005E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rozpoczęcia wykonywania Przedmiotu umowy</w:t>
      </w:r>
    </w:p>
    <w:p w14:paraId="5476DBBA" w14:textId="77777777"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Uzgodnienie projektu gospodarki zielenią z zarządcą (zarządcami) zieleni.</w:t>
      </w:r>
    </w:p>
    <w:p w14:paraId="6ED8512C" w14:textId="77777777" w:rsidR="00773280" w:rsidRPr="00DA7017" w:rsidRDefault="00773280" w:rsidP="006E5369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Uzgodnienie przekrojów oraz konstrukcji nawierzchni z zarządcą drogi.</w:t>
      </w:r>
    </w:p>
    <w:p w14:paraId="7BAF06AF" w14:textId="77777777" w:rsidR="00773280" w:rsidRPr="00DA7017" w:rsidRDefault="00773280" w:rsidP="006E5369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Uzgodnienie projektu sygnalizacji świetlnej.</w:t>
      </w:r>
    </w:p>
    <w:p w14:paraId="04A0519A" w14:textId="77777777" w:rsidR="00773280" w:rsidRPr="00DA7017" w:rsidRDefault="00773280" w:rsidP="00D92FC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Przygotowanie i uzgodnienie projektu elektrycznego instalacji sygnalizacji świetlnej.</w:t>
      </w:r>
    </w:p>
    <w:p w14:paraId="15673553" w14:textId="77777777" w:rsidR="00080448" w:rsidRDefault="00773280" w:rsidP="00C3253E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planu sytuacyjnego zawierającego profile podłużne, profile poprzeczne oraz plan warstwicowy w obrębie </w:t>
      </w:r>
      <w:r w:rsidR="00080448"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przebudowywanych wysokościowo </w:t>
      </w:r>
      <w:r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skrzyżowań</w:t>
      </w:r>
      <w:r w:rsidR="005255AA"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(tarcza oraz wloty i wyloty ze skrzyżowania)</w:t>
      </w:r>
      <w:r w:rsid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80448"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z obliczeniami maksymalnych odstępów między wpustami</w:t>
      </w:r>
      <w:r w:rsid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3375635B" w14:textId="77777777" w:rsidR="00080448" w:rsidRPr="00080448" w:rsidRDefault="00080448" w:rsidP="00C3253E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i uzgodnienie ewentualnego projektu przebudowy kanalizacji </w:t>
      </w:r>
      <w:r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w obrębie przebudowywanych wysokościowo skrzyżowań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3971685C" w14:textId="40A2145A" w:rsidR="00773280" w:rsidRPr="00A020E3" w:rsidRDefault="00773280" w:rsidP="00A020E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Wykonanie, zaopiniowanie</w:t>
      </w:r>
      <w:r w:rsidR="00461B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(WRD KSP, ZTM, </w:t>
      </w:r>
      <w:r w:rsidR="005F06C4">
        <w:rPr>
          <w:rFonts w:ascii="Times New Roman" w:hAnsi="Times New Roman" w:cs="Times New Roman"/>
          <w:color w:val="000000"/>
          <w:spacing w:val="-1"/>
          <w:sz w:val="24"/>
          <w:szCs w:val="24"/>
        </w:rPr>
        <w:t>ZTP</w:t>
      </w:r>
      <w:r w:rsidR="00461B67">
        <w:rPr>
          <w:rFonts w:ascii="Times New Roman" w:hAnsi="Times New Roman" w:cs="Times New Roman"/>
          <w:color w:val="000000"/>
          <w:spacing w:val="-1"/>
          <w:sz w:val="24"/>
          <w:szCs w:val="24"/>
        </w:rPr>
        <w:t>, ZDM)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zatwierdzenie</w:t>
      </w:r>
      <w:r w:rsidR="00461B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020E3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projektu stałej organizacji ruchu.</w:t>
      </w:r>
    </w:p>
    <w:p w14:paraId="4EBD6424" w14:textId="77777777" w:rsidR="00773280" w:rsidRPr="00DA7017" w:rsidRDefault="00773280" w:rsidP="003D7016">
      <w:pPr>
        <w:numPr>
          <w:ilvl w:val="2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i uzgodnienie projektów związanych z usunięciem kolizji wynikających z nowych rozwiązań projektowych i protokołu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 narady koordynacyjnej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52B7A74C" w14:textId="77777777"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Uzyskanie opinii do planowanych przesadzeń, wycinek i nasadzeń zieleni – od właściciela terenu oraz organu zarządzającego zielenią.</w:t>
      </w:r>
    </w:p>
    <w:p w14:paraId="6A99EFDD" w14:textId="77777777"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dokumentacji dla wykonawców</w:t>
      </w:r>
      <w:r w:rsidR="003412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prac budowlanych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</w:p>
    <w:p w14:paraId="2E93E8A6" w14:textId="77777777" w:rsidR="00773280" w:rsidRPr="00DA7017" w:rsidRDefault="00773280" w:rsidP="00ED430F">
      <w:pPr>
        <w:numPr>
          <w:ilvl w:val="3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Specyfikacje techniczne wykonania i odbioru robót budowlanych wszystkich branż</w:t>
      </w:r>
      <w:r w:rsidR="00A020E3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14:paraId="7B50E957" w14:textId="77777777" w:rsidR="00773280" w:rsidRPr="00DA7017" w:rsidRDefault="00773280" w:rsidP="00ED430F">
      <w:pPr>
        <w:numPr>
          <w:ilvl w:val="3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</w:t>
      </w:r>
      <w:r w:rsidR="00A020E3">
        <w:rPr>
          <w:rFonts w:ascii="Times New Roman" w:hAnsi="Times New Roman" w:cs="Times New Roman"/>
          <w:color w:val="000000"/>
          <w:sz w:val="24"/>
          <w:szCs w:val="24"/>
        </w:rPr>
        <w:t>znych wykonania i odbioru robót,</w:t>
      </w:r>
    </w:p>
    <w:p w14:paraId="6A14A1EB" w14:textId="77777777" w:rsidR="00773280" w:rsidRPr="00DA7017" w:rsidRDefault="00773280" w:rsidP="00ED430F">
      <w:pPr>
        <w:numPr>
          <w:ilvl w:val="3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Kosztorys inwestorski oraz kosztorys ofertowy</w:t>
      </w:r>
      <w:r w:rsidR="00A020E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494A331" w14:textId="77777777" w:rsidR="00773280" w:rsidRDefault="00773280" w:rsidP="001431E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14:paraId="45455B14" w14:textId="77777777" w:rsidR="001431EA" w:rsidRPr="00DA7017" w:rsidRDefault="001431EA" w:rsidP="001431E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14:paraId="10C3E4A9" w14:textId="77777777" w:rsidR="00773280" w:rsidRPr="00DA7017" w:rsidRDefault="00773280" w:rsidP="00ED430F">
      <w:pPr>
        <w:numPr>
          <w:ilvl w:val="0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WYMAGANIA</w:t>
      </w:r>
    </w:p>
    <w:p w14:paraId="4627EB6E" w14:textId="77777777" w:rsidR="00773280" w:rsidRPr="00DA7017" w:rsidRDefault="00773280" w:rsidP="00ED430F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14:paraId="047FB21B" w14:textId="77777777" w:rsidR="00773280" w:rsidRPr="00DA7017" w:rsidRDefault="00773280" w:rsidP="00ED430F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Dokumentację należy wykonać:</w:t>
      </w:r>
    </w:p>
    <w:p w14:paraId="31E072CD" w14:textId="77777777"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Mapa do celów projektowych – w 1 egz.</w:t>
      </w:r>
    </w:p>
    <w:p w14:paraId="0AA0F6C5" w14:textId="77777777"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budowlany – w 4 egz. w tym egzemplarz zawierający oryginalne opinie</w:t>
      </w:r>
    </w:p>
    <w:p w14:paraId="5C27A44E" w14:textId="77777777"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wykonawczy – w 3 egz.</w:t>
      </w:r>
    </w:p>
    <w:p w14:paraId="77D71BC6" w14:textId="77777777"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organizacji ruchu – w 3 egz., w tym egzemplarz zawierający oryginalne opinie i zatwierdzenie.</w:t>
      </w:r>
    </w:p>
    <w:p w14:paraId="12517A29" w14:textId="77777777" w:rsidR="00773280" w:rsidRPr="00DA7017" w:rsidRDefault="00773280" w:rsidP="00FD1F16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Projekt sygnalizacji świetlnej – w 3 egz., w tym egzemplarz zawierający oryginalne opinie i zatwierdzenie.</w:t>
      </w:r>
    </w:p>
    <w:p w14:paraId="5AC83ADA" w14:textId="77777777"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gospodarki zielenią – w 3 egz.</w:t>
      </w:r>
    </w:p>
    <w:p w14:paraId="4E86B3BB" w14:textId="77777777" w:rsidR="00773280" w:rsidRPr="00DA7017" w:rsidRDefault="00773280" w:rsidP="00ED430F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Specyfikacje techniczne wykonania i odbioru robót budowlanych wszystkich branż – 3 egz.</w:t>
      </w:r>
    </w:p>
    <w:p w14:paraId="20A9F469" w14:textId="77777777" w:rsidR="00773280" w:rsidRPr="00DA7017" w:rsidRDefault="00773280" w:rsidP="00B6538C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>Przedmiary robót – 3 egz.</w:t>
      </w:r>
    </w:p>
    <w:p w14:paraId="33123411" w14:textId="77777777" w:rsidR="00773280" w:rsidRPr="00DA7017" w:rsidRDefault="00773280" w:rsidP="00B6538C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Kosztorys inwestorski oraz kosztorys ofertowy – po 2 egz.</w:t>
      </w:r>
    </w:p>
    <w:p w14:paraId="5C64346F" w14:textId="77777777" w:rsidR="00773280" w:rsidRPr="00DA7017" w:rsidRDefault="00773280" w:rsidP="00B6538C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9"/>
          <w:sz w:val="24"/>
          <w:szCs w:val="24"/>
        </w:rPr>
        <w:t>Materiały do zgłoszeń budowlanych – wystarczająca liczba egzemplarzy</w:t>
      </w:r>
    </w:p>
    <w:p w14:paraId="0B3C7260" w14:textId="77777777" w:rsidR="00773280" w:rsidRPr="00DA7017" w:rsidRDefault="00773280" w:rsidP="00ED430F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Dodatkowo całość opracowania projektowego powinna być przekazana w postaci nagrania na nośniku elektronicznym w 2 egz. Rysunki – format .dwg i .pdf, opisy – format .doc,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przedmiary robót i kosztorysy – format</w:t>
      </w:r>
      <w:r w:rsidR="00020E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.ath 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.xls, </w:t>
      </w:r>
      <w:r w:rsidRPr="00DA7017">
        <w:rPr>
          <w:rFonts w:ascii="Times New Roman" w:hAnsi="Times New Roman" w:cs="Times New Roman"/>
          <w:color w:val="000000"/>
          <w:spacing w:val="-6"/>
          <w:sz w:val="24"/>
          <w:szCs w:val="24"/>
        </w:rPr>
        <w:t>inne elementy – format do uzgodnienia z Zamawiającym.</w:t>
      </w:r>
    </w:p>
    <w:p w14:paraId="28FC7D81" w14:textId="77777777" w:rsidR="00773280" w:rsidRDefault="00773280" w:rsidP="00CF0EB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79679347" w14:textId="77777777" w:rsidR="001431EA" w:rsidRPr="00DA7017" w:rsidRDefault="001431EA" w:rsidP="00CF0EB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58A0DB2" w14:textId="77777777" w:rsidR="00773280" w:rsidRPr="00DA7017" w:rsidRDefault="00773280" w:rsidP="00A300F6">
      <w:pPr>
        <w:numPr>
          <w:ilvl w:val="0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DA7017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WARUNKI REALIZACJI</w:t>
      </w:r>
    </w:p>
    <w:p w14:paraId="6C3C25BA" w14:textId="77777777"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Oferowana cena za prace projektowe powinna obejmować kompleks czynności i kosztów z 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nimi związanych łącznie z opłatami pobieranymi przez urzędy i instytucje z tytułu uzgodnień 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cji gruntów.</w:t>
      </w:r>
    </w:p>
    <w:p w14:paraId="5A803606" w14:textId="77777777"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powinien uwzględniać wymagania określone w założeniach programowych, wa</w:t>
      </w: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nieniach.</w:t>
      </w:r>
    </w:p>
    <w:p w14:paraId="03A55BED" w14:textId="70830D9F"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Wykonawca ma obowiązek bezzwłocznie pisemnie informować Zamawiającego o rozpoczęciu i zakończeniu każdego etapu prac opisanego w punktach II.A., II.B oraz II.C.. Ponadto Wykonawca ma obowiązek przekazywać do wiadomości Zamawiającego wszelką korespondencję w sprawie.</w:t>
      </w:r>
    </w:p>
    <w:p w14:paraId="79C43B1B" w14:textId="77777777"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Wykonawcy.</w:t>
      </w:r>
    </w:p>
    <w:p w14:paraId="781C7ADC" w14:textId="77777777"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rozwiązywaniu trudności.</w:t>
      </w:r>
    </w:p>
    <w:p w14:paraId="77A23418" w14:textId="77777777" w:rsidR="00773280" w:rsidRPr="00080448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 xml:space="preserve"> norma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tywami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standardami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w tym </w:t>
      </w:r>
      <w:r w:rsidRPr="00DA7017">
        <w:rPr>
          <w:rFonts w:ascii="Times New Roman" w:hAnsi="Times New Roman" w:cs="Times New Roman"/>
          <w:sz w:val="24"/>
          <w:szCs w:val="24"/>
        </w:rPr>
        <w:t>„Standardami projektowymi i wykonawczymi dla systemu rowerowego w m. st. Warszawie” wprowadzonymi Zarządzeniem nr 5523/2010 Prezydenta m. st. Warszawy.</w:t>
      </w:r>
    </w:p>
    <w:p w14:paraId="24B56565" w14:textId="77777777" w:rsidR="00080448" w:rsidRDefault="00080448" w:rsidP="00080448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5DFFA417" w14:textId="77777777" w:rsidR="001431EA" w:rsidRPr="00DA7017" w:rsidRDefault="001431EA" w:rsidP="00080448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3346DC60" w14:textId="77777777" w:rsidR="00080448" w:rsidRPr="000A20F5" w:rsidRDefault="00080448" w:rsidP="00080448">
      <w:pPr>
        <w:numPr>
          <w:ilvl w:val="0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0A20F5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ZAŁĄCZNIKI</w:t>
      </w:r>
    </w:p>
    <w:p w14:paraId="4081166F" w14:textId="77777777" w:rsidR="00080448" w:rsidRPr="000A20F5" w:rsidRDefault="000A20F5" w:rsidP="00080448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Koncepcja </w:t>
      </w:r>
      <w:r w:rsidR="0023296A">
        <w:rPr>
          <w:rFonts w:ascii="Times New Roman" w:hAnsi="Times New Roman" w:cs="Times New Roman"/>
          <w:color w:val="000000"/>
          <w:spacing w:val="2"/>
          <w:sz w:val="24"/>
          <w:szCs w:val="24"/>
        </w:rPr>
        <w:t>przebudowy ul. Miodowej i pl. Krasińskich – wariant I</w:t>
      </w:r>
      <w:r w:rsidR="00080448" w:rsidRPr="000A20F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34665B5" w14:textId="77777777" w:rsidR="0023296A" w:rsidRPr="000A20F5" w:rsidRDefault="0023296A" w:rsidP="0023296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Koncepcja przebudowy ul. Miodowej i pl. Krasińskich – wariant II</w:t>
      </w:r>
      <w:r w:rsidRPr="000A20F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2EB8B23D" w14:textId="77777777" w:rsidR="00080448" w:rsidRPr="00DA7017" w:rsidRDefault="00080448" w:rsidP="001431E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sectPr w:rsidR="00080448" w:rsidRPr="00DA7017" w:rsidSect="009D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7220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CC2AC1"/>
    <w:multiLevelType w:val="hybridMultilevel"/>
    <w:tmpl w:val="BEC2C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15BCE"/>
    <w:multiLevelType w:val="singleLevel"/>
    <w:tmpl w:val="086EDA46"/>
    <w:lvl w:ilvl="0">
      <w:start w:val="1"/>
      <w:numFmt w:val="decimal"/>
      <w:lvlText w:val="%1)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5E846C0"/>
    <w:multiLevelType w:val="hybridMultilevel"/>
    <w:tmpl w:val="DCEE59F0"/>
    <w:lvl w:ilvl="0" w:tplc="8A3C89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7C594E"/>
    <w:multiLevelType w:val="singleLevel"/>
    <w:tmpl w:val="F312AD06"/>
    <w:lvl w:ilvl="0">
      <w:start w:val="1"/>
      <w:numFmt w:val="decimal"/>
      <w:lvlText w:val="%1."/>
      <w:legacy w:legacy="1" w:legacySpace="0" w:legacyIndent="356"/>
      <w:lvlJc w:val="left"/>
      <w:rPr>
        <w:rFonts w:ascii="Calibri" w:hAnsi="Calibri" w:cs="Calibri" w:hint="default"/>
      </w:rPr>
    </w:lvl>
  </w:abstractNum>
  <w:abstractNum w:abstractNumId="6" w15:restartNumberingAfterBreak="0">
    <w:nsid w:val="488607C7"/>
    <w:multiLevelType w:val="singleLevel"/>
    <w:tmpl w:val="1FF664F6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7" w15:restartNumberingAfterBreak="0">
    <w:nsid w:val="54C4317F"/>
    <w:multiLevelType w:val="singleLevel"/>
    <w:tmpl w:val="A78A018E"/>
    <w:lvl w:ilvl="0">
      <w:start w:val="1"/>
      <w:numFmt w:val="decimal"/>
      <w:lvlText w:val="%1."/>
      <w:legacy w:legacy="1" w:legacySpace="0" w:legacyIndent="341"/>
      <w:lvlJc w:val="left"/>
      <w:rPr>
        <w:rFonts w:ascii="Calibri" w:hAnsi="Calibri" w:cs="Calibri" w:hint="default"/>
      </w:rPr>
    </w:lvl>
  </w:abstractNum>
  <w:abstractNum w:abstractNumId="8" w15:restartNumberingAfterBreak="0">
    <w:nsid w:val="5DE201AE"/>
    <w:multiLevelType w:val="singleLevel"/>
    <w:tmpl w:val="3D9E3712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 w15:restartNumberingAfterBreak="0">
    <w:nsid w:val="5F592E52"/>
    <w:multiLevelType w:val="hybridMultilevel"/>
    <w:tmpl w:val="1D521E0A"/>
    <w:lvl w:ilvl="0" w:tplc="8AE4DCB8">
      <w:start w:val="1"/>
      <w:numFmt w:val="upperLetter"/>
      <w:lvlText w:val="%1."/>
      <w:lvlJc w:val="left"/>
      <w:pPr>
        <w:ind w:left="599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0" w15:restartNumberingAfterBreak="0">
    <w:nsid w:val="6D1A4F8A"/>
    <w:multiLevelType w:val="hybridMultilevel"/>
    <w:tmpl w:val="829E75DC"/>
    <w:lvl w:ilvl="0" w:tplc="18001386">
      <w:start w:val="3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11" w15:restartNumberingAfterBreak="0">
    <w:nsid w:val="72C23A39"/>
    <w:multiLevelType w:val="singleLevel"/>
    <w:tmpl w:val="BE1CC43A"/>
    <w:lvl w:ilvl="0">
      <w:start w:val="1"/>
      <w:numFmt w:val="decimal"/>
      <w:lvlText w:val="%1."/>
      <w:legacy w:legacy="1" w:legacySpace="0" w:legacyIndent="374"/>
      <w:lvlJc w:val="left"/>
      <w:rPr>
        <w:rFonts w:ascii="Calibri" w:hAnsi="Calibri" w:cs="Calibri" w:hint="default"/>
      </w:rPr>
    </w:lvl>
  </w:abstractNum>
  <w:abstractNum w:abstractNumId="12" w15:restartNumberingAfterBreak="0">
    <w:nsid w:val="7DE464FE"/>
    <w:multiLevelType w:val="hybridMultilevel"/>
    <w:tmpl w:val="7FD6C0B2"/>
    <w:lvl w:ilvl="0" w:tplc="2DA0B07C">
      <w:start w:val="4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Calibri" w:hAnsi="Calibri" w:cs="Calibri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30"/>
    <w:rsid w:val="00010B87"/>
    <w:rsid w:val="000136A6"/>
    <w:rsid w:val="00020E1D"/>
    <w:rsid w:val="00021056"/>
    <w:rsid w:val="00034A34"/>
    <w:rsid w:val="00037AA3"/>
    <w:rsid w:val="00043A67"/>
    <w:rsid w:val="0005633A"/>
    <w:rsid w:val="00080448"/>
    <w:rsid w:val="0009046F"/>
    <w:rsid w:val="00095C97"/>
    <w:rsid w:val="00097B01"/>
    <w:rsid w:val="000A170C"/>
    <w:rsid w:val="000A20F5"/>
    <w:rsid w:val="000D5AE6"/>
    <w:rsid w:val="00132742"/>
    <w:rsid w:val="001364D9"/>
    <w:rsid w:val="00136B36"/>
    <w:rsid w:val="001431EA"/>
    <w:rsid w:val="001437D2"/>
    <w:rsid w:val="00145191"/>
    <w:rsid w:val="00151513"/>
    <w:rsid w:val="00154DE7"/>
    <w:rsid w:val="0019188D"/>
    <w:rsid w:val="001A5E40"/>
    <w:rsid w:val="001B2DE9"/>
    <w:rsid w:val="001B4380"/>
    <w:rsid w:val="001C2D1A"/>
    <w:rsid w:val="001F106F"/>
    <w:rsid w:val="001F6028"/>
    <w:rsid w:val="0021560F"/>
    <w:rsid w:val="00216827"/>
    <w:rsid w:val="002231C4"/>
    <w:rsid w:val="00227B57"/>
    <w:rsid w:val="0023296A"/>
    <w:rsid w:val="00261AFE"/>
    <w:rsid w:val="002840DE"/>
    <w:rsid w:val="002D3BC8"/>
    <w:rsid w:val="002D7EE6"/>
    <w:rsid w:val="002E0E61"/>
    <w:rsid w:val="002E1AAD"/>
    <w:rsid w:val="00304DAE"/>
    <w:rsid w:val="003076E3"/>
    <w:rsid w:val="003174FB"/>
    <w:rsid w:val="003375DC"/>
    <w:rsid w:val="00340230"/>
    <w:rsid w:val="00341272"/>
    <w:rsid w:val="0035707E"/>
    <w:rsid w:val="00374B9D"/>
    <w:rsid w:val="00380D81"/>
    <w:rsid w:val="003B48D6"/>
    <w:rsid w:val="003C3F18"/>
    <w:rsid w:val="003D0EF7"/>
    <w:rsid w:val="003D7016"/>
    <w:rsid w:val="003E5F20"/>
    <w:rsid w:val="003F3908"/>
    <w:rsid w:val="004260F8"/>
    <w:rsid w:val="00442D90"/>
    <w:rsid w:val="00451207"/>
    <w:rsid w:val="00461B67"/>
    <w:rsid w:val="00473A23"/>
    <w:rsid w:val="0049442E"/>
    <w:rsid w:val="00494D29"/>
    <w:rsid w:val="004A0F71"/>
    <w:rsid w:val="004B1A8E"/>
    <w:rsid w:val="004D2A9E"/>
    <w:rsid w:val="004D5892"/>
    <w:rsid w:val="004F1822"/>
    <w:rsid w:val="004F3C7A"/>
    <w:rsid w:val="004F6C09"/>
    <w:rsid w:val="00520AD2"/>
    <w:rsid w:val="005255AA"/>
    <w:rsid w:val="00535FB5"/>
    <w:rsid w:val="0054686D"/>
    <w:rsid w:val="00560F4B"/>
    <w:rsid w:val="00561211"/>
    <w:rsid w:val="0056181E"/>
    <w:rsid w:val="005B2133"/>
    <w:rsid w:val="005C4228"/>
    <w:rsid w:val="005C626E"/>
    <w:rsid w:val="005E5C78"/>
    <w:rsid w:val="005F06C4"/>
    <w:rsid w:val="005F1051"/>
    <w:rsid w:val="005F6A92"/>
    <w:rsid w:val="00610816"/>
    <w:rsid w:val="00616202"/>
    <w:rsid w:val="00620D11"/>
    <w:rsid w:val="006308EA"/>
    <w:rsid w:val="00632003"/>
    <w:rsid w:val="00633132"/>
    <w:rsid w:val="00640857"/>
    <w:rsid w:val="006525CC"/>
    <w:rsid w:val="0066720A"/>
    <w:rsid w:val="00667C10"/>
    <w:rsid w:val="0067067B"/>
    <w:rsid w:val="006858AB"/>
    <w:rsid w:val="006B1D9D"/>
    <w:rsid w:val="006C1DD0"/>
    <w:rsid w:val="006D134F"/>
    <w:rsid w:val="006E5369"/>
    <w:rsid w:val="006E6499"/>
    <w:rsid w:val="006E675C"/>
    <w:rsid w:val="006F5183"/>
    <w:rsid w:val="0071058A"/>
    <w:rsid w:val="007327BD"/>
    <w:rsid w:val="00744D48"/>
    <w:rsid w:val="00770828"/>
    <w:rsid w:val="00773280"/>
    <w:rsid w:val="00782D42"/>
    <w:rsid w:val="00794C66"/>
    <w:rsid w:val="00795F30"/>
    <w:rsid w:val="007C0953"/>
    <w:rsid w:val="007D55EA"/>
    <w:rsid w:val="007F6139"/>
    <w:rsid w:val="007F62E5"/>
    <w:rsid w:val="008240BA"/>
    <w:rsid w:val="0082732A"/>
    <w:rsid w:val="0084269C"/>
    <w:rsid w:val="008557DE"/>
    <w:rsid w:val="0085631C"/>
    <w:rsid w:val="00861A28"/>
    <w:rsid w:val="008963E7"/>
    <w:rsid w:val="008B325F"/>
    <w:rsid w:val="008B77B1"/>
    <w:rsid w:val="008C51C3"/>
    <w:rsid w:val="008D7C5B"/>
    <w:rsid w:val="008F0404"/>
    <w:rsid w:val="00902DEF"/>
    <w:rsid w:val="009136F6"/>
    <w:rsid w:val="0092519F"/>
    <w:rsid w:val="00935FA2"/>
    <w:rsid w:val="009468C9"/>
    <w:rsid w:val="00951BB5"/>
    <w:rsid w:val="00955AA7"/>
    <w:rsid w:val="00962B32"/>
    <w:rsid w:val="00982919"/>
    <w:rsid w:val="00994485"/>
    <w:rsid w:val="009A44BE"/>
    <w:rsid w:val="009B612B"/>
    <w:rsid w:val="009C7C04"/>
    <w:rsid w:val="009D0251"/>
    <w:rsid w:val="009F655C"/>
    <w:rsid w:val="009F77B1"/>
    <w:rsid w:val="00A016E8"/>
    <w:rsid w:val="00A020E3"/>
    <w:rsid w:val="00A033E1"/>
    <w:rsid w:val="00A064D1"/>
    <w:rsid w:val="00A300F6"/>
    <w:rsid w:val="00A40C46"/>
    <w:rsid w:val="00A571DE"/>
    <w:rsid w:val="00A61DDD"/>
    <w:rsid w:val="00A677BC"/>
    <w:rsid w:val="00A70106"/>
    <w:rsid w:val="00A71E0E"/>
    <w:rsid w:val="00A72301"/>
    <w:rsid w:val="00A91267"/>
    <w:rsid w:val="00A94EBA"/>
    <w:rsid w:val="00AA1DED"/>
    <w:rsid w:val="00AB555A"/>
    <w:rsid w:val="00AC1DBB"/>
    <w:rsid w:val="00AF2F94"/>
    <w:rsid w:val="00B51A7F"/>
    <w:rsid w:val="00B53949"/>
    <w:rsid w:val="00B6538C"/>
    <w:rsid w:val="00BB72BF"/>
    <w:rsid w:val="00BC07CB"/>
    <w:rsid w:val="00BD373C"/>
    <w:rsid w:val="00C0110A"/>
    <w:rsid w:val="00C0444B"/>
    <w:rsid w:val="00C11E97"/>
    <w:rsid w:val="00C26687"/>
    <w:rsid w:val="00C45F23"/>
    <w:rsid w:val="00C510FA"/>
    <w:rsid w:val="00C8032B"/>
    <w:rsid w:val="00C83FD3"/>
    <w:rsid w:val="00CB2807"/>
    <w:rsid w:val="00CC3BB1"/>
    <w:rsid w:val="00CD5211"/>
    <w:rsid w:val="00CD638A"/>
    <w:rsid w:val="00CE0AE0"/>
    <w:rsid w:val="00CE3DFE"/>
    <w:rsid w:val="00CF0EB3"/>
    <w:rsid w:val="00CF2F04"/>
    <w:rsid w:val="00D049B4"/>
    <w:rsid w:val="00D22A87"/>
    <w:rsid w:val="00D3647F"/>
    <w:rsid w:val="00D57132"/>
    <w:rsid w:val="00D60024"/>
    <w:rsid w:val="00D60A03"/>
    <w:rsid w:val="00D85575"/>
    <w:rsid w:val="00D90CEB"/>
    <w:rsid w:val="00D92FCA"/>
    <w:rsid w:val="00DA7017"/>
    <w:rsid w:val="00E01061"/>
    <w:rsid w:val="00E373FC"/>
    <w:rsid w:val="00E52CEE"/>
    <w:rsid w:val="00E54ECF"/>
    <w:rsid w:val="00E70C87"/>
    <w:rsid w:val="00EA394B"/>
    <w:rsid w:val="00ED430F"/>
    <w:rsid w:val="00EF7D91"/>
    <w:rsid w:val="00F00463"/>
    <w:rsid w:val="00F26C7C"/>
    <w:rsid w:val="00F43B35"/>
    <w:rsid w:val="00F53DF5"/>
    <w:rsid w:val="00F55707"/>
    <w:rsid w:val="00F9159E"/>
    <w:rsid w:val="00FC11C6"/>
    <w:rsid w:val="00FD1F16"/>
    <w:rsid w:val="00FD2D4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36C4E"/>
  <w15:docId w15:val="{F44639B9-A1D9-465F-A8E5-8EFF28B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230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bold">
    <w:name w:val="content_bold"/>
    <w:basedOn w:val="Domylnaczcionkaakapitu"/>
    <w:uiPriority w:val="99"/>
    <w:rsid w:val="00340230"/>
    <w:rPr>
      <w:rFonts w:cs="Times New Roman"/>
    </w:rPr>
  </w:style>
  <w:style w:type="paragraph" w:styleId="Akapitzlist">
    <w:name w:val="List Paragraph"/>
    <w:basedOn w:val="Normalny"/>
    <w:uiPriority w:val="99"/>
    <w:qFormat/>
    <w:rsid w:val="00A30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84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40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E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E1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E1D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Zarząd Transportu Miejskiego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Pieńkos Mikołaj</dc:creator>
  <cp:keywords/>
  <dc:description/>
  <cp:lastModifiedBy>Jan Jakiel</cp:lastModifiedBy>
  <cp:revision>4</cp:revision>
  <cp:lastPrinted>2015-07-29T06:39:00Z</cp:lastPrinted>
  <dcterms:created xsi:type="dcterms:W3CDTF">2015-12-18T11:47:00Z</dcterms:created>
  <dcterms:modified xsi:type="dcterms:W3CDTF">2015-12-18T11:51:00Z</dcterms:modified>
</cp:coreProperties>
</file>