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7D" w:rsidRDefault="0006707D" w:rsidP="00E95FCE">
      <w:pPr>
        <w:pStyle w:val="Tresekcji"/>
        <w:jc w:val="center"/>
        <w:rPr>
          <w:b/>
          <w:sz w:val="32"/>
        </w:rPr>
      </w:pPr>
      <w:r w:rsidRPr="00E95FCE">
        <w:rPr>
          <w:b/>
          <w:sz w:val="32"/>
        </w:rPr>
        <w:t xml:space="preserve">Opis </w:t>
      </w:r>
      <w:r>
        <w:rPr>
          <w:b/>
          <w:sz w:val="32"/>
        </w:rPr>
        <w:t>potrzeb i wymagań Koncesjodawcy</w:t>
      </w:r>
    </w:p>
    <w:p w:rsidR="0006707D" w:rsidRDefault="0006707D" w:rsidP="00E95FCE">
      <w:pPr>
        <w:pStyle w:val="Tresekcji"/>
      </w:pPr>
    </w:p>
    <w:p w:rsidR="0006707D" w:rsidRPr="007D68EC" w:rsidRDefault="0006707D" w:rsidP="00E95FCE">
      <w:pPr>
        <w:pStyle w:val="Tresekcji"/>
      </w:pPr>
      <w:r w:rsidRPr="007D68EC">
        <w:t>Na mocy postanowień umowy koncesji, Koncesjonariusz zobowiązany będzie do</w:t>
      </w:r>
      <w:r>
        <w:t xml:space="preserve"> świadczenia usług typu carsharing, to jest całodobowe, krótkookresowe, bezobsługowe udostępnienie samochodów do wypożyczenia przez zarejestrowanych użytkowników na terenie m. st. Warszawy. Zakres zadań obejmuje w szczególności</w:t>
      </w:r>
      <w:r w:rsidRPr="007D68EC">
        <w:t>*:</w:t>
      </w:r>
    </w:p>
    <w:p w:rsidR="0006707D" w:rsidRPr="00557C19" w:rsidRDefault="0006707D" w:rsidP="00E95FCE">
      <w:pPr>
        <w:pStyle w:val="Tresekcji"/>
        <w:numPr>
          <w:ilvl w:val="0"/>
          <w:numId w:val="1"/>
        </w:numPr>
        <w:ind w:left="426" w:hanging="426"/>
      </w:pPr>
      <w:r>
        <w:t>świadczenie usługi</w:t>
      </w:r>
      <w:r w:rsidRPr="004D3269">
        <w:t xml:space="preserve"> w trybie ciągłym przez wszystkie dni w roku, 24 godziny na </w:t>
      </w:r>
      <w:r>
        <w:t xml:space="preserve">dobę, </w:t>
      </w:r>
      <w:r w:rsidRPr="007F5D6C">
        <w:t xml:space="preserve">przez </w:t>
      </w:r>
      <w:r w:rsidRPr="00557C19">
        <w:t>okres minimum 4 lat lecz nie dłużej niż 8 lat;</w:t>
      </w:r>
    </w:p>
    <w:p w:rsidR="0006707D" w:rsidRDefault="0006707D" w:rsidP="00E95FCE">
      <w:pPr>
        <w:pStyle w:val="Tresekcji"/>
        <w:numPr>
          <w:ilvl w:val="0"/>
          <w:numId w:val="1"/>
        </w:numPr>
        <w:ind w:left="426" w:hanging="426"/>
      </w:pPr>
      <w:r w:rsidRPr="00557C19">
        <w:t>usługa powinna być świadczona flotą minimum 300 lecz nie więcej niż 500 pojazdów</w:t>
      </w:r>
      <w:r w:rsidRPr="007F5D6C">
        <w:t xml:space="preserve"> fabrycznie nowych w momencie rozpoczęcia świadczenia usługi</w:t>
      </w:r>
      <w:r>
        <w:t>;</w:t>
      </w:r>
    </w:p>
    <w:p w:rsidR="0006707D" w:rsidRPr="002B62FE" w:rsidRDefault="0006707D" w:rsidP="00E95FCE">
      <w:pPr>
        <w:pStyle w:val="Tresekcji"/>
        <w:numPr>
          <w:ilvl w:val="0"/>
          <w:numId w:val="1"/>
        </w:numPr>
        <w:ind w:left="426" w:hanging="426"/>
        <w:rPr>
          <w:rStyle w:val="FontStyle29"/>
        </w:rPr>
      </w:pPr>
      <w:r>
        <w:rPr>
          <w:rStyle w:val="FontStyle29"/>
        </w:rPr>
        <w:t>flota powinna składać się z pojazdów dopuszczonych do ruchu zgodnie z prawem polskim i należących do jednego lub większej liczby rodzajów spośród niżej wymienionych:</w:t>
      </w:r>
    </w:p>
    <w:p w:rsidR="0006707D" w:rsidRPr="002B62FE" w:rsidRDefault="0006707D" w:rsidP="00E95FCE">
      <w:pPr>
        <w:pStyle w:val="Tresekcji"/>
        <w:numPr>
          <w:ilvl w:val="1"/>
          <w:numId w:val="1"/>
        </w:numPr>
      </w:pPr>
      <w:r>
        <w:t>p</w:t>
      </w:r>
      <w:r w:rsidRPr="002B62FE">
        <w:t>ojazdy elektryczne;</w:t>
      </w:r>
    </w:p>
    <w:p w:rsidR="0006707D" w:rsidRPr="002B62FE" w:rsidRDefault="0006707D" w:rsidP="00E95FCE">
      <w:pPr>
        <w:pStyle w:val="Tresekcji"/>
        <w:numPr>
          <w:ilvl w:val="1"/>
          <w:numId w:val="1"/>
        </w:numPr>
      </w:pPr>
      <w:r>
        <w:t>p</w:t>
      </w:r>
      <w:r w:rsidRPr="002B62FE">
        <w:t>ojazdy hybrydowe</w:t>
      </w:r>
      <w:r>
        <w:t>;</w:t>
      </w:r>
    </w:p>
    <w:p w:rsidR="0006707D" w:rsidRDefault="0006707D" w:rsidP="00E95FCE">
      <w:pPr>
        <w:pStyle w:val="Tresekcji"/>
        <w:numPr>
          <w:ilvl w:val="1"/>
          <w:numId w:val="1"/>
        </w:numPr>
      </w:pPr>
      <w:r>
        <w:t>p</w:t>
      </w:r>
      <w:r w:rsidRPr="002B62FE">
        <w:t xml:space="preserve">ojazdy </w:t>
      </w:r>
      <w:r>
        <w:t xml:space="preserve">z silnikiem benzynowym </w:t>
      </w:r>
      <w:r w:rsidRPr="002B62FE">
        <w:t>z poziomem emisji Eu</w:t>
      </w:r>
      <w:r>
        <w:t>ro 6</w:t>
      </w:r>
      <w:r w:rsidRPr="002B62FE">
        <w:t>;</w:t>
      </w:r>
    </w:p>
    <w:p w:rsidR="0006707D" w:rsidRDefault="0006707D" w:rsidP="00E95FCE">
      <w:pPr>
        <w:pStyle w:val="Tresekcji"/>
        <w:ind w:left="1080"/>
      </w:pPr>
      <w:r>
        <w:rPr>
          <w:rStyle w:val="FontStyle29"/>
        </w:rPr>
        <w:t>W przypadku pojazdów hybrydowych, o których mowa w punkcie b, parametry napędu alternatywnego dla elektrycznego powinny spełniać parametry określone w punkcie c;</w:t>
      </w:r>
    </w:p>
    <w:p w:rsidR="0006707D" w:rsidRDefault="0006707D" w:rsidP="00E95FCE">
      <w:pPr>
        <w:pStyle w:val="Tresekcji"/>
        <w:numPr>
          <w:ilvl w:val="0"/>
          <w:numId w:val="1"/>
        </w:numPr>
        <w:ind w:left="426" w:hanging="426"/>
      </w:pPr>
      <w:r>
        <w:t xml:space="preserve">pojazdy powinny być trwale oznakowane z zewnątrz w sposób pozwalający na jednoznaczną identyfikację Koncesjonariusza oraz </w:t>
      </w:r>
      <w:r>
        <w:rPr>
          <w:rStyle w:val="FontStyle29"/>
        </w:rPr>
        <w:t>oznaczone herbem lub logiem promocyjnym m. st. Warszawy o wymiarach nie mniejszych, niż 200 cm</w:t>
      </w:r>
      <w:r w:rsidRPr="00832319">
        <w:rPr>
          <w:rStyle w:val="FontStyle29"/>
          <w:vertAlign w:val="superscript"/>
        </w:rPr>
        <w:t>2</w:t>
      </w:r>
      <w:r>
        <w:rPr>
          <w:rStyle w:val="FontStyle29"/>
        </w:rPr>
        <w:t>, umieszczonym na bokach pojazdów;</w:t>
      </w:r>
    </w:p>
    <w:p w:rsidR="0006707D" w:rsidRDefault="0006707D" w:rsidP="00E95FCE">
      <w:pPr>
        <w:pStyle w:val="Tresekcji"/>
        <w:numPr>
          <w:ilvl w:val="0"/>
          <w:numId w:val="1"/>
        </w:numPr>
        <w:ind w:left="426" w:hanging="426"/>
      </w:pPr>
      <w:r>
        <w:t>koncesjonariusz może nie posiadać pojazdów na własność, będzie zobowiązany jednak przedstawić dokumenty świadczące o tytule prawnym do dysponowania flotą w celu realizacji usługi (np. umowa leasingu lub wynajmu długoterminowego);</w:t>
      </w:r>
    </w:p>
    <w:p w:rsidR="0006707D" w:rsidRDefault="0006707D" w:rsidP="00E95FCE">
      <w:pPr>
        <w:pStyle w:val="Tresekcji"/>
        <w:numPr>
          <w:ilvl w:val="0"/>
          <w:numId w:val="1"/>
        </w:numPr>
        <w:ind w:left="426" w:hanging="426"/>
      </w:pPr>
      <w:r w:rsidRPr="007F5D6C">
        <w:t>usługa powinna być dostępna co najmniej na obszarze dzielnic Mokotów, Ochota, Praga Południe, Praga Północ, Śródmieście, Wola i Żoliborz. Dokładny obszar świadczenia</w:t>
      </w:r>
      <w:r>
        <w:t xml:space="preserve"> usługi zostanie ustalony po przeprowadzeniu negocjacji z zainteresowanymi podmiotami. Użytkownik powinien mieć możliwość wyjazdu poza ww. strefę pod warunkiem zwrotu samochodu w jej obrębie;</w:t>
      </w:r>
    </w:p>
    <w:p w:rsidR="0006707D" w:rsidRDefault="0006707D" w:rsidP="00E95FCE">
      <w:pPr>
        <w:pStyle w:val="Tresekcji"/>
        <w:numPr>
          <w:ilvl w:val="0"/>
          <w:numId w:val="1"/>
        </w:numPr>
        <w:ind w:left="426" w:hanging="426"/>
      </w:pPr>
      <w:r>
        <w:t xml:space="preserve">wypożyczenie samochodów powinno odbywać się bezobsługowo, na podstawie regulaminu opracowanego przez Koncesjonariusza i zatwierdzonego przez Koncesjodawcę, poprzez wszystkie następujące sposoby komunikacji z użytkownikami: </w:t>
      </w:r>
    </w:p>
    <w:p w:rsidR="0006707D" w:rsidRDefault="0006707D" w:rsidP="00E95FCE">
      <w:pPr>
        <w:pStyle w:val="Tresekcji"/>
        <w:numPr>
          <w:ilvl w:val="1"/>
          <w:numId w:val="1"/>
        </w:numPr>
      </w:pPr>
      <w:r>
        <w:t>aplikacja na urządzenia przenośne,</w:t>
      </w:r>
    </w:p>
    <w:p w:rsidR="0006707D" w:rsidRDefault="0006707D" w:rsidP="00E95FCE">
      <w:pPr>
        <w:pStyle w:val="Tresekcji"/>
        <w:numPr>
          <w:ilvl w:val="1"/>
          <w:numId w:val="1"/>
        </w:numPr>
      </w:pPr>
      <w:r>
        <w:t>serwis internetowy,</w:t>
      </w:r>
    </w:p>
    <w:p w:rsidR="0006707D" w:rsidRDefault="0006707D" w:rsidP="00E95FCE">
      <w:pPr>
        <w:pStyle w:val="Tresekcji"/>
        <w:numPr>
          <w:ilvl w:val="1"/>
          <w:numId w:val="1"/>
        </w:numPr>
      </w:pPr>
      <w:r>
        <w:t>telefonicznie (infolinia);</w:t>
      </w:r>
    </w:p>
    <w:p w:rsidR="0006707D" w:rsidRDefault="0006707D" w:rsidP="00E95FCE">
      <w:pPr>
        <w:pStyle w:val="Tresekcji"/>
        <w:numPr>
          <w:ilvl w:val="0"/>
          <w:numId w:val="1"/>
        </w:numPr>
        <w:ind w:left="426" w:hanging="426"/>
      </w:pPr>
      <w:r>
        <w:t>użytkownicy powinni mieć możliwość zarówno uprzedniej rezerwacji wybranego samochodu, jak i wykorzystania niezarezerwowanego pojazdu bez konieczności zgłoszenia;</w:t>
      </w:r>
    </w:p>
    <w:p w:rsidR="0006707D" w:rsidRDefault="0006707D" w:rsidP="00E95FCE">
      <w:pPr>
        <w:pStyle w:val="Tresekcji"/>
        <w:numPr>
          <w:ilvl w:val="0"/>
          <w:numId w:val="1"/>
        </w:numPr>
        <w:ind w:left="426" w:hanging="426"/>
      </w:pPr>
      <w:r>
        <w:rPr>
          <w:szCs w:val="22"/>
        </w:rPr>
        <w:t xml:space="preserve">Koncesjonariusz </w:t>
      </w:r>
      <w:r w:rsidRPr="0031695C">
        <w:rPr>
          <w:szCs w:val="22"/>
        </w:rPr>
        <w:t xml:space="preserve">zobowiązany jest zapewnić </w:t>
      </w:r>
      <w:r>
        <w:rPr>
          <w:szCs w:val="22"/>
        </w:rPr>
        <w:t xml:space="preserve">zaplecze techniczne usługi, w tym </w:t>
      </w:r>
      <w:bookmarkStart w:id="0" w:name="_GoBack"/>
      <w:bookmarkEnd w:id="0"/>
      <w:r>
        <w:rPr>
          <w:szCs w:val="22"/>
        </w:rPr>
        <w:t>całodobową infolinię</w:t>
      </w:r>
      <w:r w:rsidRPr="0031695C">
        <w:rPr>
          <w:szCs w:val="22"/>
        </w:rPr>
        <w:t>, działającą przez cały okres świadczenia usługi</w:t>
      </w:r>
      <w:r>
        <w:rPr>
          <w:szCs w:val="22"/>
        </w:rPr>
        <w:t>, w celu obsługi wypożyczeń i zwrotów, przyjmowania reklamacji i skarg oraz pomocy w rozwiązywaniu problemów użytkowników;</w:t>
      </w:r>
    </w:p>
    <w:p w:rsidR="0006707D" w:rsidRDefault="0006707D" w:rsidP="00E95FCE">
      <w:pPr>
        <w:pStyle w:val="Tresekcji"/>
        <w:numPr>
          <w:ilvl w:val="0"/>
          <w:numId w:val="1"/>
        </w:numPr>
        <w:ind w:left="426" w:hanging="426"/>
      </w:pPr>
      <w:r>
        <w:t>o</w:t>
      </w:r>
      <w:r w:rsidRPr="00BE6AB8">
        <w:t xml:space="preserve">płata za </w:t>
      </w:r>
      <w:r>
        <w:t>usługę</w:t>
      </w:r>
      <w:r w:rsidRPr="00BE6AB8">
        <w:t xml:space="preserve"> powinna obejmować wszystkie koszty eksploatacji pojazdu, włączając w to paliwo</w:t>
      </w:r>
      <w:r>
        <w:t>, ubezpieczenie</w:t>
      </w:r>
      <w:r w:rsidRPr="00BE6AB8">
        <w:t xml:space="preserve"> oraz wszystkie inne elementy związane z jego użytkowaniem, </w:t>
      </w:r>
      <w:r>
        <w:t>np.</w:t>
      </w:r>
      <w:r w:rsidRPr="00BE6AB8">
        <w:t xml:space="preserve"> konserwacja i naprawy, </w:t>
      </w:r>
      <w:r>
        <w:t xml:space="preserve">koszty </w:t>
      </w:r>
      <w:r w:rsidRPr="00BE6AB8">
        <w:t xml:space="preserve">olejów, </w:t>
      </w:r>
      <w:r>
        <w:t>zużycie opon itd</w:t>
      </w:r>
      <w:r w:rsidRPr="00BE6AB8">
        <w:t>.;</w:t>
      </w:r>
    </w:p>
    <w:p w:rsidR="0006707D" w:rsidRPr="007C3E4C" w:rsidRDefault="0006707D" w:rsidP="00E95FCE">
      <w:pPr>
        <w:pStyle w:val="Tresekcji"/>
        <w:numPr>
          <w:ilvl w:val="0"/>
          <w:numId w:val="1"/>
        </w:numPr>
        <w:ind w:left="426" w:hanging="426"/>
      </w:pPr>
      <w:r w:rsidRPr="007C3E4C">
        <w:t>samochody powinny posiadać ubezpieczenie OC i NW;</w:t>
      </w:r>
    </w:p>
    <w:p w:rsidR="0006707D" w:rsidRPr="00557C19" w:rsidRDefault="0006707D" w:rsidP="00E95FCE">
      <w:pPr>
        <w:pStyle w:val="Tresekcji"/>
        <w:numPr>
          <w:ilvl w:val="0"/>
          <w:numId w:val="1"/>
        </w:numPr>
        <w:ind w:left="426" w:hanging="426"/>
      </w:pPr>
      <w:r w:rsidRPr="00557C19">
        <w:t>Koncesjodawca umożliwi użytkownikom usługi preferencyjne korzystanie z pasa drogowego, np.:</w:t>
      </w:r>
    </w:p>
    <w:p w:rsidR="0006707D" w:rsidRPr="00557C19" w:rsidRDefault="0006707D" w:rsidP="0090149B">
      <w:pPr>
        <w:pStyle w:val="Tresekcji"/>
        <w:numPr>
          <w:ilvl w:val="1"/>
          <w:numId w:val="1"/>
        </w:numPr>
      </w:pPr>
      <w:r w:rsidRPr="00557C19">
        <w:t>bezpłatne korzystanie z miejsc parkingowych w Strefie Płatnego Parkowania Niestrzeżonego (dalej: SPPN) po wniesieniu przez Koncesjonariusza zryczałtowanej opłaty;</w:t>
      </w:r>
    </w:p>
    <w:p w:rsidR="0006707D" w:rsidRPr="00557C19" w:rsidRDefault="0006707D" w:rsidP="0090149B">
      <w:pPr>
        <w:pStyle w:val="Tresekcji"/>
        <w:numPr>
          <w:ilvl w:val="1"/>
          <w:numId w:val="1"/>
        </w:numPr>
      </w:pPr>
      <w:r w:rsidRPr="00557C19">
        <w:t>możliwość korzystania z wybranych pasów dla autobusów przez samochody należące do floty carsharing;</w:t>
      </w:r>
    </w:p>
    <w:p w:rsidR="0006707D" w:rsidRDefault="0006707D" w:rsidP="00E95FCE">
      <w:pPr>
        <w:pStyle w:val="Tresekcji"/>
        <w:numPr>
          <w:ilvl w:val="0"/>
          <w:numId w:val="1"/>
        </w:numPr>
        <w:ind w:left="426" w:hanging="426"/>
      </w:pPr>
      <w:r>
        <w:t>Koncesjodawca wesprze Koncesjonariusza w rozpowszechnieniu idei carsharingu oraz zasad korzystania z usługi za pomocą własnych kanałów informacyjnych;</w:t>
      </w:r>
    </w:p>
    <w:p w:rsidR="0006707D" w:rsidRDefault="0006707D" w:rsidP="00E95FCE">
      <w:pPr>
        <w:pStyle w:val="Tresekcji"/>
        <w:numPr>
          <w:ilvl w:val="0"/>
          <w:numId w:val="1"/>
        </w:numPr>
        <w:ind w:left="426" w:hanging="426"/>
      </w:pPr>
      <w:r>
        <w:t>usługa powinna być dostępna bez ustanawiania żadnych limitów minimalnych, zarówno jeżeli chodzi o czas, jak i o odległość przejazdu;</w:t>
      </w:r>
    </w:p>
    <w:p w:rsidR="0006707D" w:rsidRDefault="0006707D" w:rsidP="00E95FCE">
      <w:pPr>
        <w:pStyle w:val="Tresekcji"/>
        <w:numPr>
          <w:ilvl w:val="0"/>
          <w:numId w:val="1"/>
        </w:numPr>
        <w:ind w:left="426" w:hanging="426"/>
      </w:pPr>
      <w:r>
        <w:t>usługa powinna być dostępna dla każdego użytkownika spełniającego wymogi regulaminu usługi, bez żadnej dyskryminacji (za wyjątkiem postanowień regulaminu usługi o charakterze dyscyplinarnym);</w:t>
      </w:r>
    </w:p>
    <w:p w:rsidR="0006707D" w:rsidRDefault="0006707D" w:rsidP="00E95FCE">
      <w:pPr>
        <w:pStyle w:val="Tresekcji"/>
        <w:numPr>
          <w:ilvl w:val="0"/>
          <w:numId w:val="1"/>
        </w:numPr>
        <w:ind w:left="426" w:hanging="426"/>
      </w:pPr>
      <w:r>
        <w:t>rejestracja nowego użytkownika powinna odbywać się bezkosztowo, ewentualnie kwota pobierana przy rejestracji powinna pozostać w dyspozycji użytkownika na poczet kosztów korzystania z usługi;</w:t>
      </w:r>
    </w:p>
    <w:p w:rsidR="0006707D" w:rsidRPr="00BD4B4B" w:rsidRDefault="0006707D" w:rsidP="00E95FCE">
      <w:pPr>
        <w:pStyle w:val="Tresekcji"/>
        <w:numPr>
          <w:ilvl w:val="0"/>
          <w:numId w:val="1"/>
        </w:numPr>
        <w:ind w:left="426" w:hanging="426"/>
        <w:rPr>
          <w:rStyle w:val="FontStyle29"/>
        </w:rPr>
      </w:pPr>
      <w:r>
        <w:rPr>
          <w:szCs w:val="22"/>
        </w:rPr>
        <w:t xml:space="preserve">Koncesjonariusz zobowiązany będzie </w:t>
      </w:r>
      <w:r w:rsidRPr="0031695C">
        <w:rPr>
          <w:szCs w:val="22"/>
        </w:rPr>
        <w:t xml:space="preserve">przeprowadzać, co najmniej raz w roku, badania </w:t>
      </w:r>
      <w:r>
        <w:rPr>
          <w:szCs w:val="22"/>
        </w:rPr>
        <w:t>zadowolenia użytkowników,</w:t>
      </w:r>
      <w:r w:rsidRPr="0031695C">
        <w:rPr>
          <w:szCs w:val="22"/>
        </w:rPr>
        <w:t xml:space="preserve"> których wynik należy </w:t>
      </w:r>
      <w:r>
        <w:rPr>
          <w:szCs w:val="22"/>
        </w:rPr>
        <w:t>przekazać do Koncesjodawcy</w:t>
      </w:r>
      <w:r w:rsidRPr="0031695C">
        <w:rPr>
          <w:szCs w:val="22"/>
        </w:rPr>
        <w:t>.</w:t>
      </w:r>
      <w:r w:rsidRPr="0031695C">
        <w:rPr>
          <w:rStyle w:val="FontStyle29"/>
        </w:rPr>
        <w:t xml:space="preserve"> Badanie należy przeprowadzić </w:t>
      </w:r>
      <w:r>
        <w:rPr>
          <w:rStyle w:val="FontStyle29"/>
        </w:rPr>
        <w:t xml:space="preserve">metodą CATI na reprezentatywnej próbie użytkowników, </w:t>
      </w:r>
      <w:r w:rsidRPr="0031695C">
        <w:rPr>
          <w:rStyle w:val="FontStyle29"/>
        </w:rPr>
        <w:t xml:space="preserve">w oparciu </w:t>
      </w:r>
      <w:r>
        <w:rPr>
          <w:rStyle w:val="FontStyle29"/>
        </w:rPr>
        <w:t>o kwestionariusz zaakceptowany przez Koncesjodawcę;</w:t>
      </w:r>
    </w:p>
    <w:p w:rsidR="0006707D" w:rsidRPr="00033A3C" w:rsidRDefault="0006707D" w:rsidP="00E95FCE">
      <w:pPr>
        <w:pStyle w:val="Tresekcji"/>
        <w:numPr>
          <w:ilvl w:val="0"/>
          <w:numId w:val="1"/>
        </w:numPr>
        <w:ind w:left="426" w:hanging="426"/>
        <w:rPr>
          <w:rStyle w:val="FontStyle29"/>
        </w:rPr>
      </w:pPr>
      <w:r>
        <w:t xml:space="preserve">Koncesjonariusz zobowiązany będzie, po ukończeniu każdego miesiąca świadczenia usług, przekazać Koncesjodawcy </w:t>
      </w:r>
      <w:r w:rsidRPr="0031695C">
        <w:rPr>
          <w:rStyle w:val="FontStyle29"/>
        </w:rPr>
        <w:t xml:space="preserve">raport zawierający </w:t>
      </w:r>
      <w:r>
        <w:rPr>
          <w:rStyle w:val="FontStyle29"/>
        </w:rPr>
        <w:t xml:space="preserve">wszystkie następujące dane: </w:t>
      </w:r>
      <w:r w:rsidRPr="0031695C">
        <w:rPr>
          <w:rStyle w:val="FontStyle29"/>
        </w:rPr>
        <w:t xml:space="preserve">liczbę </w:t>
      </w:r>
      <w:r>
        <w:rPr>
          <w:rStyle w:val="FontStyle29"/>
        </w:rPr>
        <w:t>użytkowników</w:t>
      </w:r>
      <w:r w:rsidRPr="0031695C">
        <w:rPr>
          <w:rStyle w:val="FontStyle29"/>
        </w:rPr>
        <w:t xml:space="preserve">, liczbę </w:t>
      </w:r>
      <w:r>
        <w:rPr>
          <w:rStyle w:val="FontStyle29"/>
        </w:rPr>
        <w:t xml:space="preserve">aktywnych </w:t>
      </w:r>
      <w:r w:rsidRPr="0031695C">
        <w:rPr>
          <w:rStyle w:val="FontStyle29"/>
        </w:rPr>
        <w:t xml:space="preserve">użytkowników, liczbę pojazdów w podziale na rodzaje, liczbę i miejsce </w:t>
      </w:r>
      <w:r>
        <w:rPr>
          <w:rStyle w:val="FontStyle29"/>
        </w:rPr>
        <w:t xml:space="preserve">wypożyczeń i zwrotów, liczbę godzin użytkowania, </w:t>
      </w:r>
      <w:r w:rsidRPr="0031695C">
        <w:rPr>
          <w:rStyle w:val="FontStyle29"/>
        </w:rPr>
        <w:t>liczbę kilometrów przejech</w:t>
      </w:r>
      <w:r>
        <w:rPr>
          <w:rStyle w:val="FontStyle29"/>
        </w:rPr>
        <w:t>anych przez każdy pojazd oraz w trakcie</w:t>
      </w:r>
      <w:r w:rsidRPr="0031695C">
        <w:rPr>
          <w:rStyle w:val="FontStyle29"/>
        </w:rPr>
        <w:t xml:space="preserve"> poszczególnych </w:t>
      </w:r>
      <w:r>
        <w:rPr>
          <w:rStyle w:val="FontStyle29"/>
        </w:rPr>
        <w:t>wypożyczeń, liczbę godzin parkowania w SPPN przez każdy pojazd;</w:t>
      </w:r>
    </w:p>
    <w:p w:rsidR="0006707D" w:rsidRPr="00BD4B4B" w:rsidRDefault="0006707D" w:rsidP="00E95FCE">
      <w:pPr>
        <w:pStyle w:val="Tresekcji"/>
        <w:numPr>
          <w:ilvl w:val="0"/>
          <w:numId w:val="1"/>
        </w:numPr>
        <w:ind w:left="426" w:hanging="426"/>
        <w:rPr>
          <w:rStyle w:val="FontStyle29"/>
        </w:rPr>
      </w:pPr>
      <w:r>
        <w:rPr>
          <w:rStyle w:val="FontStyle29"/>
        </w:rPr>
        <w:t>dostępność floty pojazdów, rozumiana jako udział procentowy samochodów gotowych do wypożyczenia lub będących w trakcie wypożyczenia w ilości samochodów we flocie ogółem, powinna w każdym czasie wynosić co najmniej 90%. Trwałe (ponad 3 miesiące) obniżenie poziomu dostępności poniżej 90% może skutkować wypowiedzeniem umowy przez Koncesjodawcę;</w:t>
      </w:r>
    </w:p>
    <w:p w:rsidR="0006707D" w:rsidRPr="00477C13" w:rsidRDefault="0006707D" w:rsidP="00E95FCE">
      <w:pPr>
        <w:pStyle w:val="Tresekcji"/>
        <w:numPr>
          <w:ilvl w:val="0"/>
          <w:numId w:val="1"/>
        </w:numPr>
        <w:ind w:left="426" w:hanging="426"/>
        <w:rPr>
          <w:rStyle w:val="FontStyle29"/>
        </w:rPr>
      </w:pPr>
      <w:r>
        <w:t xml:space="preserve">flota </w:t>
      </w:r>
      <w:r w:rsidRPr="0031695C">
        <w:rPr>
          <w:rStyle w:val="FontStyle29"/>
        </w:rPr>
        <w:t>pojazdów powin</w:t>
      </w:r>
      <w:r>
        <w:rPr>
          <w:rStyle w:val="FontStyle29"/>
        </w:rPr>
        <w:t>na</w:t>
      </w:r>
      <w:r w:rsidRPr="0031695C">
        <w:rPr>
          <w:rStyle w:val="FontStyle29"/>
        </w:rPr>
        <w:t xml:space="preserve"> być okresowo odnawian</w:t>
      </w:r>
      <w:r>
        <w:rPr>
          <w:rStyle w:val="FontStyle29"/>
        </w:rPr>
        <w:t>a</w:t>
      </w:r>
      <w:r w:rsidRPr="0031695C">
        <w:rPr>
          <w:rStyle w:val="FontStyle29"/>
        </w:rPr>
        <w:t xml:space="preserve">, co pozwoli zapewnić, że pojazdy go tworzące będą na bieżąco dostosowane do </w:t>
      </w:r>
      <w:r>
        <w:rPr>
          <w:rStyle w:val="FontStyle29"/>
        </w:rPr>
        <w:t>aktualnych wymogów technicznych i ekologicznych</w:t>
      </w:r>
      <w:r w:rsidRPr="0031695C">
        <w:rPr>
          <w:rStyle w:val="FontStyle29"/>
        </w:rPr>
        <w:t xml:space="preserve">. </w:t>
      </w:r>
      <w:r>
        <w:rPr>
          <w:rStyle w:val="FontStyle29"/>
        </w:rPr>
        <w:t xml:space="preserve">Pojazdy w żadnym momencie nie mogą być starsze, niż czteroletnie oraz ich </w:t>
      </w:r>
      <w:r w:rsidRPr="0031695C">
        <w:rPr>
          <w:rStyle w:val="FontStyle29"/>
        </w:rPr>
        <w:t>przebieg</w:t>
      </w:r>
      <w:r>
        <w:rPr>
          <w:rStyle w:val="FontStyle29"/>
        </w:rPr>
        <w:t xml:space="preserve"> nie może przekroczyć</w:t>
      </w:r>
      <w:r w:rsidRPr="0031695C">
        <w:rPr>
          <w:rStyle w:val="FontStyle29"/>
        </w:rPr>
        <w:t xml:space="preserve"> 100.000 km</w:t>
      </w:r>
      <w:r>
        <w:rPr>
          <w:rStyle w:val="FontStyle29"/>
        </w:rPr>
        <w:t>. W razie odnowienia floty, pojazdy powinny być fabrycznie nowe;</w:t>
      </w:r>
    </w:p>
    <w:p w:rsidR="0006707D" w:rsidRPr="00557C19" w:rsidRDefault="0006707D" w:rsidP="00E95FCE">
      <w:pPr>
        <w:pStyle w:val="Tresekcji"/>
        <w:numPr>
          <w:ilvl w:val="0"/>
          <w:numId w:val="1"/>
        </w:numPr>
        <w:ind w:left="426" w:hanging="426"/>
        <w:rPr>
          <w:rStyle w:val="FontStyle29"/>
        </w:rPr>
      </w:pPr>
      <w:r>
        <w:rPr>
          <w:rStyle w:val="FontStyle29"/>
        </w:rPr>
        <w:t xml:space="preserve">flota pojazdów powinna być zróżnicowana pod względem pojemności i właściwości, ponadto </w:t>
      </w:r>
      <w:r w:rsidRPr="00557C19">
        <w:rPr>
          <w:rStyle w:val="FontStyle29"/>
        </w:rPr>
        <w:t>co najmniej jeden pojazd na sto powinien posiadać wyposażenie umożliwiające przewóz osób o ograniczonej możliwości poruszania się. Typ pojazdu powinien być rozpoznawalny w trakcie dokonywania rezerwacji przez użytkownika;</w:t>
      </w:r>
    </w:p>
    <w:p w:rsidR="0006707D" w:rsidRPr="00557C19" w:rsidRDefault="0006707D" w:rsidP="00E95FCE">
      <w:pPr>
        <w:pStyle w:val="Tresekcji"/>
        <w:numPr>
          <w:ilvl w:val="0"/>
          <w:numId w:val="1"/>
        </w:numPr>
        <w:ind w:left="426" w:hanging="426"/>
        <w:rPr>
          <w:rStyle w:val="FontStyle29"/>
        </w:rPr>
      </w:pPr>
      <w:r w:rsidRPr="00557C19">
        <w:rPr>
          <w:rStyle w:val="FontStyle29"/>
        </w:rPr>
        <w:t>Koncesjonariusz powinien być przygotowany do wydzielenia maksymalnie do 25% floty w celu realizacji tzw. stacjonarnego modelu carsharing z samochodami przypisanymi do konkretnych lokalizacji, w miejscach parkingowych udostępnionych na wyłączność operatorowi w celu realizacji modelu stacjonarnego, umożliwiającego wcześniejszą rezerwację oraz niższe koszty jednostkowe;</w:t>
      </w:r>
    </w:p>
    <w:p w:rsidR="0006707D" w:rsidRPr="00557C19" w:rsidRDefault="0006707D" w:rsidP="00E95FCE">
      <w:pPr>
        <w:pStyle w:val="Tresekcji"/>
        <w:numPr>
          <w:ilvl w:val="0"/>
          <w:numId w:val="1"/>
        </w:numPr>
        <w:ind w:left="426" w:hanging="426"/>
        <w:rPr>
          <w:rStyle w:val="FontStyle29"/>
        </w:rPr>
      </w:pPr>
      <w:r w:rsidRPr="00557C19">
        <w:rPr>
          <w:rStyle w:val="FontStyle29"/>
        </w:rPr>
        <w:t>w przypadku, gdy m. st. Warszawa wdroży nowy, zintegrowany system płatności za usługi obejmujący także dziedzinę mobilności miejskiej, Koncesjonariusz zobowiązany będzie przystąpić do tego systemu (bez konieczności zmiany taryfy);</w:t>
      </w:r>
    </w:p>
    <w:p w:rsidR="0006707D" w:rsidRPr="00557C19" w:rsidRDefault="0006707D" w:rsidP="00E95FCE">
      <w:pPr>
        <w:pStyle w:val="Tresekcji"/>
        <w:numPr>
          <w:ilvl w:val="0"/>
          <w:numId w:val="1"/>
        </w:numPr>
        <w:ind w:left="426" w:hanging="426"/>
        <w:rPr>
          <w:rStyle w:val="FontStyle29"/>
          <w:rFonts w:ascii="Tahoma" w:hAnsi="Tahoma" w:cs="Tahoma"/>
          <w:szCs w:val="24"/>
        </w:rPr>
      </w:pPr>
      <w:r w:rsidRPr="00557C19">
        <w:rPr>
          <w:rStyle w:val="FontStyle29"/>
        </w:rPr>
        <w:t>Koncesjodawca zastrzega sobie możliwość uruchomienia w przyszłości kolejnych systemów carsharing, w drodze kolejnej umowy koncesji lub zamówienia publicznego.</w:t>
      </w:r>
    </w:p>
    <w:p w:rsidR="0006707D" w:rsidRPr="00557C19" w:rsidRDefault="0006707D" w:rsidP="00E95FCE">
      <w:pPr>
        <w:pStyle w:val="Tresekcji"/>
        <w:numPr>
          <w:ilvl w:val="0"/>
          <w:numId w:val="1"/>
        </w:numPr>
        <w:ind w:left="426" w:hanging="426"/>
        <w:rPr>
          <w:rStyle w:val="FontStyle29"/>
          <w:rFonts w:ascii="Tahoma" w:hAnsi="Tahoma" w:cs="Tahoma"/>
          <w:szCs w:val="24"/>
        </w:rPr>
      </w:pPr>
      <w:r w:rsidRPr="00557C19">
        <w:rPr>
          <w:rStyle w:val="FontStyle29"/>
        </w:rPr>
        <w:t>Koncesjonariusz będzie mógł wykorzystać część karoserii na cele reklamowe, jednak w skali i formie niezaburzającej identyfikacji systemu;</w:t>
      </w:r>
    </w:p>
    <w:p w:rsidR="0006707D" w:rsidRPr="005C6B99" w:rsidRDefault="0006707D" w:rsidP="00557C19">
      <w:pPr>
        <w:pStyle w:val="Tresekcji"/>
        <w:numPr>
          <w:ilvl w:val="0"/>
          <w:numId w:val="1"/>
        </w:numPr>
        <w:ind w:left="426" w:hanging="426"/>
      </w:pPr>
      <w:r w:rsidRPr="005C6B99">
        <w:rPr>
          <w:rStyle w:val="FontStyle29"/>
        </w:rPr>
        <w:t>Koncesjodawca będzie prowadził promocję carsharingu jako elementu miejskiej oferty zrównoważonej mobilności, zgodnie z dokumentami strategicznymi m. st. Warszawy;</w:t>
      </w:r>
    </w:p>
    <w:p w:rsidR="0006707D" w:rsidRPr="005C6B99" w:rsidRDefault="0006707D" w:rsidP="00E95FCE">
      <w:pPr>
        <w:pStyle w:val="Tresekcji"/>
        <w:numPr>
          <w:ilvl w:val="0"/>
          <w:numId w:val="1"/>
        </w:numPr>
        <w:ind w:left="426" w:hanging="426"/>
        <w:rPr>
          <w:rStyle w:val="FontStyle29"/>
          <w:rFonts w:ascii="Tahoma" w:hAnsi="Tahoma" w:cs="Tahoma"/>
          <w:szCs w:val="24"/>
        </w:rPr>
      </w:pPr>
      <w:r w:rsidRPr="005C6B99">
        <w:rPr>
          <w:rStyle w:val="FontStyle29"/>
        </w:rPr>
        <w:t>Wynagrodzenie Koncesjonariusza stanowi wyłącznie prawo do wykonywania usług, w tym pobierania pożytków. Koncesjodawca nie przewiduje płatności na rzecz Koncesjonariusza.</w:t>
      </w:r>
    </w:p>
    <w:p w:rsidR="0006707D" w:rsidRDefault="0006707D" w:rsidP="00E95FCE">
      <w:pPr>
        <w:pStyle w:val="Tresekcji"/>
      </w:pPr>
    </w:p>
    <w:p w:rsidR="0006707D" w:rsidRPr="007D68EC" w:rsidRDefault="0006707D" w:rsidP="00E95FCE">
      <w:pPr>
        <w:pStyle w:val="Tresekcji"/>
      </w:pPr>
      <w:r w:rsidRPr="007D68EC">
        <w:t>* zakres zadań Koncesjonariusza będzie przedmiotem negocjacji i zostanie ostatecznie doprecyzowany w opisie warunków koncesji przekazanym Zainteresowanemu podmiotowi wraz z zaproszeniem do składania ofert.</w:t>
      </w:r>
    </w:p>
    <w:p w:rsidR="0006707D" w:rsidRDefault="0006707D"/>
    <w:sectPr w:rsidR="0006707D" w:rsidSect="0054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0673"/>
    <w:multiLevelType w:val="hybridMultilevel"/>
    <w:tmpl w:val="934A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FCE"/>
    <w:rsid w:val="00033A3C"/>
    <w:rsid w:val="0006707D"/>
    <w:rsid w:val="001C4637"/>
    <w:rsid w:val="002B62FE"/>
    <w:rsid w:val="0031695C"/>
    <w:rsid w:val="00384882"/>
    <w:rsid w:val="00477C13"/>
    <w:rsid w:val="00486789"/>
    <w:rsid w:val="004A2DC6"/>
    <w:rsid w:val="004D3269"/>
    <w:rsid w:val="00544E6A"/>
    <w:rsid w:val="00557C19"/>
    <w:rsid w:val="005C6B99"/>
    <w:rsid w:val="007C3E4C"/>
    <w:rsid w:val="007D68EC"/>
    <w:rsid w:val="007F5D6C"/>
    <w:rsid w:val="00832319"/>
    <w:rsid w:val="0084312F"/>
    <w:rsid w:val="008D5C51"/>
    <w:rsid w:val="0090149B"/>
    <w:rsid w:val="00B04CA4"/>
    <w:rsid w:val="00B066FB"/>
    <w:rsid w:val="00B82835"/>
    <w:rsid w:val="00BD4B4B"/>
    <w:rsid w:val="00BE6AB8"/>
    <w:rsid w:val="00C22131"/>
    <w:rsid w:val="00D22713"/>
    <w:rsid w:val="00E95FCE"/>
    <w:rsid w:val="00FA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6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esekcji">
    <w:name w:val="Treść sekcji"/>
    <w:basedOn w:val="Normal"/>
    <w:link w:val="TresekcjiZnak"/>
    <w:uiPriority w:val="99"/>
    <w:rsid w:val="00E95FCE"/>
    <w:pPr>
      <w:spacing w:after="0" w:line="276" w:lineRule="auto"/>
      <w:jc w:val="both"/>
    </w:pPr>
    <w:rPr>
      <w:rFonts w:ascii="Tahoma" w:hAnsi="Tahoma" w:cs="Tahoma"/>
      <w:szCs w:val="24"/>
    </w:rPr>
  </w:style>
  <w:style w:type="character" w:customStyle="1" w:styleId="TresekcjiZnak">
    <w:name w:val="Treść sekcji Znak"/>
    <w:basedOn w:val="DefaultParagraphFont"/>
    <w:link w:val="Tresekcji"/>
    <w:uiPriority w:val="99"/>
    <w:locked/>
    <w:rsid w:val="00E95FCE"/>
    <w:rPr>
      <w:rFonts w:ascii="Tahoma" w:hAnsi="Tahoma" w:cs="Tahoma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E95FCE"/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B066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6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066F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6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066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06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1017</Words>
  <Characters>6107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potrzeb i wymagań Koncesjodawcy</dc:title>
  <dc:subject/>
  <dc:creator>Tamas Dombi</dc:creator>
  <cp:keywords/>
  <dc:description/>
  <cp:lastModifiedBy>a.rupacz</cp:lastModifiedBy>
  <cp:revision>2</cp:revision>
  <dcterms:created xsi:type="dcterms:W3CDTF">2016-08-23T07:38:00Z</dcterms:created>
  <dcterms:modified xsi:type="dcterms:W3CDTF">2016-08-23T07:38:00Z</dcterms:modified>
</cp:coreProperties>
</file>