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4AE" w:rsidRDefault="00E464AE" w:rsidP="007F0A02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="00BE0330">
        <w:rPr>
          <w:rFonts w:ascii="Arial" w:hAnsi="Arial" w:cs="Arial"/>
          <w:b/>
          <w:sz w:val="20"/>
          <w:szCs w:val="20"/>
        </w:rPr>
        <w:t xml:space="preserve">  </w:t>
      </w:r>
      <w:r w:rsidRPr="00A366AB">
        <w:rPr>
          <w:rFonts w:ascii="Tahoma" w:hAnsi="Tahoma" w:cs="Tahoma"/>
          <w:b/>
          <w:sz w:val="22"/>
          <w:szCs w:val="22"/>
        </w:rPr>
        <w:t>OPIS PRZEDMIOTU ZAMÓWIENIA</w:t>
      </w:r>
      <w:r w:rsidRPr="00A366AB">
        <w:rPr>
          <w:rFonts w:ascii="Tahoma" w:hAnsi="Tahoma" w:cs="Tahoma"/>
          <w:b/>
          <w:sz w:val="22"/>
          <w:szCs w:val="22"/>
        </w:rPr>
        <w:tab/>
      </w:r>
    </w:p>
    <w:p w:rsidR="00E2081D" w:rsidRPr="00A366AB" w:rsidRDefault="00E2081D" w:rsidP="007F0A02">
      <w:pPr>
        <w:jc w:val="both"/>
        <w:rPr>
          <w:rFonts w:ascii="Tahoma" w:hAnsi="Tahoma" w:cs="Tahoma"/>
          <w:sz w:val="22"/>
          <w:szCs w:val="22"/>
        </w:rPr>
      </w:pPr>
    </w:p>
    <w:p w:rsidR="00304119" w:rsidRPr="00A366AB" w:rsidRDefault="00E464AE" w:rsidP="00F86687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A366AB">
        <w:rPr>
          <w:rFonts w:ascii="Tahoma" w:hAnsi="Tahoma" w:cs="Tahoma"/>
          <w:sz w:val="22"/>
          <w:szCs w:val="22"/>
        </w:rPr>
        <w:t>Przedmiotem zamówienia</w:t>
      </w:r>
      <w:r w:rsidR="00F86687" w:rsidRPr="00A366AB">
        <w:rPr>
          <w:rFonts w:ascii="Tahoma" w:hAnsi="Tahoma" w:cs="Tahoma"/>
          <w:sz w:val="22"/>
          <w:szCs w:val="22"/>
        </w:rPr>
        <w:t xml:space="preserve"> są </w:t>
      </w:r>
      <w:r w:rsidR="00F86687" w:rsidRPr="00A366AB">
        <w:rPr>
          <w:rFonts w:ascii="Tahoma" w:hAnsi="Tahoma" w:cs="Tahoma"/>
          <w:b/>
          <w:bCs/>
          <w:sz w:val="22"/>
          <w:szCs w:val="22"/>
        </w:rPr>
        <w:t>„Roboty w zakresie doświetlenia przejść dla pieszych polegające na wymianie istniejącej infrastruktury oświetleniowej”.</w:t>
      </w:r>
      <w:r w:rsidR="00F86687" w:rsidRPr="00A366AB">
        <w:rPr>
          <w:rFonts w:ascii="Tahoma" w:hAnsi="Tahoma" w:cs="Tahoma"/>
          <w:sz w:val="22"/>
          <w:szCs w:val="22"/>
        </w:rPr>
        <w:t>”</w:t>
      </w:r>
    </w:p>
    <w:p w:rsidR="00E464AE" w:rsidRPr="00A366AB" w:rsidRDefault="00E464AE" w:rsidP="00E464AE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304119" w:rsidRPr="00A366AB" w:rsidRDefault="00304119" w:rsidP="00B372EC">
      <w:pPr>
        <w:pStyle w:val="Akapitzlist"/>
        <w:numPr>
          <w:ilvl w:val="0"/>
          <w:numId w:val="2"/>
        </w:numPr>
        <w:spacing w:line="360" w:lineRule="atLeast"/>
        <w:ind w:left="284"/>
        <w:jc w:val="both"/>
        <w:rPr>
          <w:rFonts w:ascii="Tahoma" w:hAnsi="Tahoma" w:cs="Tahoma"/>
          <w:sz w:val="22"/>
          <w:szCs w:val="22"/>
        </w:rPr>
      </w:pPr>
      <w:r w:rsidRPr="00A366AB">
        <w:rPr>
          <w:rFonts w:ascii="Tahoma" w:hAnsi="Tahoma" w:cs="Tahoma"/>
          <w:sz w:val="22"/>
          <w:szCs w:val="22"/>
        </w:rPr>
        <w:t xml:space="preserve">Określenie przedmiotu zamówienia: </w:t>
      </w:r>
    </w:p>
    <w:p w:rsidR="00304119" w:rsidRPr="00A366AB" w:rsidRDefault="00304119" w:rsidP="000F164B">
      <w:pPr>
        <w:spacing w:line="360" w:lineRule="atLeast"/>
        <w:ind w:left="284"/>
        <w:jc w:val="both"/>
        <w:rPr>
          <w:rFonts w:ascii="Tahoma" w:hAnsi="Tahoma" w:cs="Tahoma"/>
          <w:sz w:val="22"/>
          <w:szCs w:val="22"/>
        </w:rPr>
      </w:pPr>
      <w:r w:rsidRPr="00A366AB">
        <w:rPr>
          <w:rFonts w:ascii="Tahoma" w:hAnsi="Tahoma" w:cs="Tahoma"/>
          <w:sz w:val="22"/>
          <w:szCs w:val="22"/>
        </w:rPr>
        <w:t>Doświetlenie przejść należy wykonać po prze</w:t>
      </w:r>
      <w:r w:rsidR="00F86687" w:rsidRPr="00A366AB">
        <w:rPr>
          <w:rFonts w:ascii="Tahoma" w:hAnsi="Tahoma" w:cs="Tahoma"/>
          <w:sz w:val="22"/>
          <w:szCs w:val="22"/>
        </w:rPr>
        <w:t xml:space="preserve">z wymianę istniejących wyeksploatowanych słupów i opraw oświetleniowych na nowe słupy i oprawy oświetleniowe typu LED. </w:t>
      </w:r>
      <w:r w:rsidR="00F651C6" w:rsidRPr="00A366AB">
        <w:rPr>
          <w:rFonts w:ascii="Tahoma" w:hAnsi="Tahoma" w:cs="Tahoma"/>
          <w:sz w:val="22"/>
          <w:szCs w:val="22"/>
        </w:rPr>
        <w:t xml:space="preserve"> </w:t>
      </w:r>
    </w:p>
    <w:p w:rsidR="00F651C6" w:rsidRPr="00A366AB" w:rsidRDefault="00F651C6" w:rsidP="00F651C6">
      <w:pPr>
        <w:suppressAutoHyphens/>
        <w:jc w:val="both"/>
        <w:rPr>
          <w:rFonts w:ascii="Tahoma" w:hAnsi="Tahoma" w:cs="Tahoma"/>
          <w:sz w:val="22"/>
          <w:szCs w:val="22"/>
        </w:rPr>
      </w:pPr>
    </w:p>
    <w:p w:rsidR="00304119" w:rsidRPr="00A366AB" w:rsidRDefault="00304119" w:rsidP="00B372EC">
      <w:pPr>
        <w:pStyle w:val="Akapitzlist"/>
        <w:numPr>
          <w:ilvl w:val="0"/>
          <w:numId w:val="2"/>
        </w:numPr>
        <w:suppressAutoHyphens/>
        <w:ind w:left="284"/>
        <w:jc w:val="both"/>
        <w:rPr>
          <w:rFonts w:ascii="Tahoma" w:hAnsi="Tahoma" w:cs="Tahoma"/>
          <w:sz w:val="22"/>
          <w:szCs w:val="22"/>
        </w:rPr>
      </w:pPr>
      <w:r w:rsidRPr="00A366AB">
        <w:rPr>
          <w:rFonts w:ascii="Tahoma" w:hAnsi="Tahoma" w:cs="Tahoma"/>
          <w:sz w:val="22"/>
          <w:szCs w:val="22"/>
        </w:rPr>
        <w:t>Zakres robót budowlanych:</w:t>
      </w:r>
    </w:p>
    <w:p w:rsidR="00B372EC" w:rsidRPr="00A366AB" w:rsidRDefault="00B372EC" w:rsidP="00B372EC">
      <w:pPr>
        <w:pStyle w:val="Akapitzlist"/>
        <w:suppressAutoHyphens/>
        <w:jc w:val="both"/>
        <w:rPr>
          <w:rFonts w:ascii="Tahoma" w:hAnsi="Tahoma" w:cs="Tahoma"/>
          <w:sz w:val="22"/>
          <w:szCs w:val="22"/>
        </w:rPr>
      </w:pPr>
    </w:p>
    <w:p w:rsidR="00304119" w:rsidRPr="00A366AB" w:rsidRDefault="00304119" w:rsidP="000F164B">
      <w:pPr>
        <w:suppressAutoHyphens/>
        <w:ind w:left="284"/>
        <w:jc w:val="both"/>
        <w:rPr>
          <w:rFonts w:ascii="Tahoma" w:hAnsi="Tahoma" w:cs="Tahoma"/>
          <w:sz w:val="22"/>
          <w:szCs w:val="22"/>
        </w:rPr>
      </w:pPr>
      <w:r w:rsidRPr="00A366AB">
        <w:rPr>
          <w:rFonts w:ascii="Tahoma" w:hAnsi="Tahoma" w:cs="Tahoma"/>
          <w:sz w:val="22"/>
          <w:szCs w:val="22"/>
        </w:rPr>
        <w:t xml:space="preserve">Roboty będą polegały na: </w:t>
      </w:r>
      <w:r w:rsidR="00F86687" w:rsidRPr="00A366AB">
        <w:rPr>
          <w:rFonts w:ascii="Tahoma" w:hAnsi="Tahoma" w:cs="Tahoma"/>
          <w:sz w:val="22"/>
          <w:szCs w:val="22"/>
        </w:rPr>
        <w:t xml:space="preserve">demontażu istniejących </w:t>
      </w:r>
      <w:r w:rsidR="0035435C" w:rsidRPr="00A366AB">
        <w:rPr>
          <w:rFonts w:ascii="Tahoma" w:hAnsi="Tahoma" w:cs="Tahoma"/>
          <w:sz w:val="22"/>
          <w:szCs w:val="22"/>
        </w:rPr>
        <w:t>słupów, wysięgników i opraw oświetleniowych oraz zamontowaniu nowych słupów aluminiowych z wysięgnikami dwuramiennymi oraz nowych</w:t>
      </w:r>
      <w:r w:rsidR="00DF6FF4">
        <w:rPr>
          <w:rFonts w:ascii="Tahoma" w:hAnsi="Tahoma" w:cs="Tahoma"/>
          <w:sz w:val="22"/>
          <w:szCs w:val="22"/>
        </w:rPr>
        <w:t xml:space="preserve"> opraw oświetleniowych typu LED w lokalizacjach wskazanych w załączniku do przedmiotowego postępowania.</w:t>
      </w:r>
    </w:p>
    <w:p w:rsidR="00B372EC" w:rsidRPr="00A366AB" w:rsidRDefault="00B372EC" w:rsidP="00304119">
      <w:pPr>
        <w:suppressAutoHyphens/>
        <w:jc w:val="both"/>
        <w:rPr>
          <w:rFonts w:ascii="Tahoma" w:hAnsi="Tahoma" w:cs="Tahoma"/>
          <w:sz w:val="22"/>
          <w:szCs w:val="22"/>
        </w:rPr>
      </w:pPr>
    </w:p>
    <w:p w:rsidR="00B372EC" w:rsidRDefault="00B372EC" w:rsidP="00B372EC">
      <w:pPr>
        <w:pStyle w:val="Akapitzlist"/>
        <w:numPr>
          <w:ilvl w:val="0"/>
          <w:numId w:val="2"/>
        </w:numPr>
        <w:suppressAutoHyphens/>
        <w:ind w:left="284"/>
        <w:jc w:val="both"/>
        <w:rPr>
          <w:rFonts w:ascii="Tahoma" w:hAnsi="Tahoma" w:cs="Tahoma"/>
          <w:sz w:val="22"/>
          <w:szCs w:val="22"/>
        </w:rPr>
      </w:pPr>
      <w:r w:rsidRPr="00A366AB">
        <w:rPr>
          <w:rFonts w:ascii="Tahoma" w:hAnsi="Tahoma" w:cs="Tahoma"/>
          <w:sz w:val="22"/>
          <w:szCs w:val="22"/>
        </w:rPr>
        <w:t xml:space="preserve">Roboty budowlane należy prowadzić zgodnie z </w:t>
      </w:r>
      <w:r w:rsidR="0035435C" w:rsidRPr="00A366AB">
        <w:rPr>
          <w:rFonts w:ascii="Tahoma" w:hAnsi="Tahoma" w:cs="Tahoma"/>
          <w:sz w:val="22"/>
          <w:szCs w:val="22"/>
        </w:rPr>
        <w:t xml:space="preserve">przedmiarem robót </w:t>
      </w:r>
      <w:r w:rsidRPr="00A366AB">
        <w:rPr>
          <w:rFonts w:ascii="Tahoma" w:hAnsi="Tahoma" w:cs="Tahoma"/>
          <w:sz w:val="22"/>
          <w:szCs w:val="22"/>
        </w:rPr>
        <w:t xml:space="preserve">oraz zapisami umowy. </w:t>
      </w:r>
    </w:p>
    <w:p w:rsidR="00DF6FF4" w:rsidRPr="00A366AB" w:rsidRDefault="00DF6FF4" w:rsidP="00DF6FF4">
      <w:pPr>
        <w:pStyle w:val="Akapitzlist"/>
        <w:suppressAutoHyphens/>
        <w:ind w:left="284"/>
        <w:jc w:val="both"/>
        <w:rPr>
          <w:rFonts w:ascii="Tahoma" w:hAnsi="Tahoma" w:cs="Tahoma"/>
          <w:sz w:val="22"/>
          <w:szCs w:val="22"/>
        </w:rPr>
      </w:pPr>
    </w:p>
    <w:p w:rsidR="0035435C" w:rsidRDefault="0035435C" w:rsidP="00B372EC">
      <w:pPr>
        <w:pStyle w:val="Akapitzlist"/>
        <w:numPr>
          <w:ilvl w:val="0"/>
          <w:numId w:val="2"/>
        </w:numPr>
        <w:suppressAutoHyphens/>
        <w:ind w:left="284"/>
        <w:jc w:val="both"/>
        <w:rPr>
          <w:rFonts w:ascii="Tahoma" w:hAnsi="Tahoma" w:cs="Tahoma"/>
          <w:sz w:val="22"/>
          <w:szCs w:val="22"/>
        </w:rPr>
      </w:pPr>
      <w:r w:rsidRPr="00A366AB">
        <w:rPr>
          <w:rFonts w:ascii="Tahoma" w:hAnsi="Tahoma" w:cs="Tahoma"/>
          <w:sz w:val="22"/>
          <w:szCs w:val="22"/>
        </w:rPr>
        <w:t>Opis parametrów opraw oraz</w:t>
      </w:r>
      <w:r w:rsidR="00DF6FF4">
        <w:rPr>
          <w:rFonts w:ascii="Tahoma" w:hAnsi="Tahoma" w:cs="Tahoma"/>
          <w:sz w:val="22"/>
          <w:szCs w:val="22"/>
        </w:rPr>
        <w:t xml:space="preserve"> słupów oświetleniowych:</w:t>
      </w:r>
    </w:p>
    <w:p w:rsidR="00DF6FF4" w:rsidRPr="00DF6FF4" w:rsidRDefault="00DF6FF4" w:rsidP="00DF6FF4">
      <w:pPr>
        <w:pStyle w:val="Akapitzlist"/>
        <w:rPr>
          <w:rFonts w:ascii="Tahoma" w:hAnsi="Tahoma" w:cs="Tahoma"/>
          <w:sz w:val="22"/>
          <w:szCs w:val="22"/>
        </w:rPr>
      </w:pPr>
    </w:p>
    <w:p w:rsidR="0035435C" w:rsidRPr="00A366AB" w:rsidRDefault="0035435C" w:rsidP="0035435C">
      <w:pPr>
        <w:pStyle w:val="Akapitzlist"/>
        <w:suppressAutoHyphens/>
        <w:ind w:left="284"/>
        <w:jc w:val="both"/>
        <w:rPr>
          <w:rFonts w:ascii="Tahoma" w:hAnsi="Tahoma" w:cs="Tahoma"/>
          <w:sz w:val="22"/>
          <w:szCs w:val="22"/>
        </w:rPr>
      </w:pPr>
      <w:r w:rsidRPr="00A366AB">
        <w:rPr>
          <w:rFonts w:ascii="Tahoma" w:hAnsi="Tahoma" w:cs="Tahoma"/>
          <w:sz w:val="22"/>
          <w:szCs w:val="22"/>
        </w:rPr>
        <w:t>Oprawa oświetleniowa:</w:t>
      </w:r>
    </w:p>
    <w:p w:rsidR="009E043B" w:rsidRDefault="004268B8" w:rsidP="0035435C">
      <w:pPr>
        <w:pStyle w:val="Akapitzlist"/>
        <w:suppressAutoHyphens/>
        <w:ind w:left="284"/>
        <w:jc w:val="both"/>
        <w:rPr>
          <w:rFonts w:ascii="Tahoma" w:hAnsi="Tahoma" w:cs="Tahoma"/>
          <w:sz w:val="22"/>
          <w:szCs w:val="22"/>
        </w:rPr>
      </w:pPr>
      <w:r w:rsidRPr="00A366AB">
        <w:rPr>
          <w:rFonts w:ascii="Tahoma" w:hAnsi="Tahoma" w:cs="Tahoma"/>
          <w:sz w:val="22"/>
          <w:szCs w:val="22"/>
        </w:rPr>
        <w:t xml:space="preserve">Oprawa typu LED </w:t>
      </w:r>
      <w:r w:rsidR="009E043B">
        <w:rPr>
          <w:rFonts w:ascii="Tahoma" w:hAnsi="Tahoma" w:cs="Tahoma"/>
          <w:sz w:val="22"/>
          <w:szCs w:val="22"/>
        </w:rPr>
        <w:t>powinna spełniać następujące parametry:</w:t>
      </w:r>
    </w:p>
    <w:p w:rsidR="009E043B" w:rsidRDefault="009E043B" w:rsidP="0035435C">
      <w:pPr>
        <w:pStyle w:val="Akapitzlist"/>
        <w:suppressAutoHyphens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napięcie znamio</w:t>
      </w:r>
      <w:r w:rsidR="00CB7FE5">
        <w:rPr>
          <w:rFonts w:ascii="Tahoma" w:hAnsi="Tahoma" w:cs="Tahoma"/>
          <w:sz w:val="22"/>
          <w:szCs w:val="22"/>
        </w:rPr>
        <w:t xml:space="preserve">nowe oprawy 230V +/- 5%, 50 </w:t>
      </w:r>
      <w:proofErr w:type="spellStart"/>
      <w:r w:rsidR="00CB7FE5">
        <w:rPr>
          <w:rFonts w:ascii="Tahoma" w:hAnsi="Tahoma" w:cs="Tahoma"/>
          <w:sz w:val="22"/>
          <w:szCs w:val="22"/>
        </w:rPr>
        <w:t>Hz</w:t>
      </w:r>
      <w:proofErr w:type="spellEnd"/>
      <w:r w:rsidR="00CB7FE5">
        <w:rPr>
          <w:rFonts w:ascii="Tahoma" w:hAnsi="Tahoma" w:cs="Tahoma"/>
          <w:sz w:val="22"/>
          <w:szCs w:val="22"/>
        </w:rPr>
        <w:t>;</w:t>
      </w:r>
      <w:bookmarkStart w:id="0" w:name="_GoBack"/>
      <w:bookmarkEnd w:id="0"/>
    </w:p>
    <w:p w:rsidR="009E043B" w:rsidRDefault="009E043B" w:rsidP="0035435C">
      <w:pPr>
        <w:pStyle w:val="Akapitzlist"/>
        <w:suppressAutoHyphens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zakres temperatury pracy oprawy: od -40</w:t>
      </w:r>
      <w:r>
        <w:rPr>
          <w:rFonts w:ascii="Tahoma" w:hAnsi="Tahoma" w:cs="Tahoma"/>
          <w:sz w:val="22"/>
          <w:szCs w:val="22"/>
          <w:vertAlign w:val="superscript"/>
        </w:rPr>
        <w:t>o</w:t>
      </w:r>
      <w:r>
        <w:rPr>
          <w:rFonts w:ascii="Tahoma" w:hAnsi="Tahoma" w:cs="Tahoma"/>
          <w:sz w:val="22"/>
          <w:szCs w:val="22"/>
        </w:rPr>
        <w:t>C do +35</w:t>
      </w:r>
      <w:r>
        <w:rPr>
          <w:rFonts w:ascii="Tahoma" w:hAnsi="Tahoma" w:cs="Tahoma"/>
          <w:sz w:val="22"/>
          <w:szCs w:val="22"/>
          <w:vertAlign w:val="superscript"/>
        </w:rPr>
        <w:t>o</w:t>
      </w:r>
      <w:r>
        <w:rPr>
          <w:rFonts w:ascii="Tahoma" w:hAnsi="Tahoma" w:cs="Tahoma"/>
          <w:sz w:val="22"/>
          <w:szCs w:val="22"/>
        </w:rPr>
        <w:t>C;</w:t>
      </w:r>
    </w:p>
    <w:p w:rsidR="009E043B" w:rsidRDefault="009E043B" w:rsidP="0035435C">
      <w:pPr>
        <w:pStyle w:val="Akapitzlist"/>
        <w:suppressAutoHyphens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oprawa musi być wyposażona w diody LED o wydajności nie mniejszej niż 1</w:t>
      </w:r>
      <w:r w:rsidR="005D7234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>0</w:t>
      </w:r>
      <w:r w:rsidR="00BC30D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lm/W;</w:t>
      </w:r>
    </w:p>
    <w:p w:rsidR="009E043B" w:rsidRDefault="009E043B" w:rsidP="0035435C">
      <w:pPr>
        <w:pStyle w:val="Akapitzlist"/>
        <w:suppressAutoHyphens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temperatura barwowa LED w zakresie </w:t>
      </w:r>
      <w:r w:rsidRPr="00A366AB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0</w:t>
      </w:r>
      <w:r w:rsidRPr="00A366AB">
        <w:rPr>
          <w:rFonts w:ascii="Tahoma" w:hAnsi="Tahoma" w:cs="Tahoma"/>
          <w:sz w:val="22"/>
          <w:szCs w:val="22"/>
        </w:rPr>
        <w:t>00-4000 K</w:t>
      </w:r>
      <w:r>
        <w:rPr>
          <w:rFonts w:ascii="Tahoma" w:hAnsi="Tahoma" w:cs="Tahoma"/>
          <w:sz w:val="22"/>
          <w:szCs w:val="22"/>
        </w:rPr>
        <w:t xml:space="preserve"> różnice dopuszczalne +/- 1% w wymaganym zakresie temperatury barwowej;</w:t>
      </w:r>
    </w:p>
    <w:p w:rsidR="009E043B" w:rsidRPr="00456AC0" w:rsidRDefault="009E043B" w:rsidP="00456AC0">
      <w:pPr>
        <w:pStyle w:val="Akapitzlist"/>
        <w:suppressAutoHyphens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wymagany wskaźnik oddawania barw LED Ra&gt;/=70;</w:t>
      </w:r>
    </w:p>
    <w:p w:rsidR="002A20CF" w:rsidRDefault="009E043B" w:rsidP="0035435C">
      <w:pPr>
        <w:pStyle w:val="Akapitzlist"/>
        <w:suppressAutoHyphens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obudowa oprawy wykonana z ciśnieniowego odlewu aluminiowego malowana proszkowo lub anodowana</w:t>
      </w:r>
      <w:r w:rsidR="002A20CF">
        <w:rPr>
          <w:rFonts w:ascii="Tahoma" w:hAnsi="Tahoma" w:cs="Tahoma"/>
          <w:sz w:val="22"/>
          <w:szCs w:val="22"/>
        </w:rPr>
        <w:t>;</w:t>
      </w:r>
    </w:p>
    <w:p w:rsidR="002A20CF" w:rsidRDefault="002A20CF" w:rsidP="0035435C">
      <w:pPr>
        <w:pStyle w:val="Akapitzlist"/>
        <w:suppressAutoHyphens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oprawa powinna posiadać budowę dwukomorową;</w:t>
      </w:r>
    </w:p>
    <w:p w:rsidR="002A20CF" w:rsidRDefault="00456AC0" w:rsidP="0035435C">
      <w:pPr>
        <w:pStyle w:val="Akapitzlist"/>
        <w:suppressAutoHyphens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o</w:t>
      </w:r>
      <w:r w:rsidR="002A20CF">
        <w:rPr>
          <w:rFonts w:ascii="Tahoma" w:hAnsi="Tahoma" w:cs="Tahoma"/>
          <w:sz w:val="22"/>
          <w:szCs w:val="22"/>
        </w:rPr>
        <w:t>prawa musi posiadać poziom szczelności nie mniejszy niż IP 66 dla komory optycznej</w:t>
      </w:r>
      <w:r w:rsidR="00F80012">
        <w:rPr>
          <w:rFonts w:ascii="Tahoma" w:hAnsi="Tahoma" w:cs="Tahoma"/>
          <w:sz w:val="22"/>
          <w:szCs w:val="22"/>
        </w:rPr>
        <w:t xml:space="preserve"> </w:t>
      </w:r>
      <w:r w:rsidR="002A20CF">
        <w:rPr>
          <w:rFonts w:ascii="Tahoma" w:hAnsi="Tahoma" w:cs="Tahoma"/>
          <w:sz w:val="22"/>
          <w:szCs w:val="22"/>
        </w:rPr>
        <w:t>jak i komory osprzętu;</w:t>
      </w:r>
    </w:p>
    <w:p w:rsidR="002A20CF" w:rsidRDefault="002A20CF" w:rsidP="0035435C">
      <w:pPr>
        <w:pStyle w:val="Akapitzlist"/>
        <w:suppressAutoHyphens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źródło światła musi być zabezpieczone szybą hartowaną o udarności min. IK 0</w:t>
      </w:r>
      <w:r w:rsidR="005D7234">
        <w:rPr>
          <w:rFonts w:ascii="Tahoma" w:hAnsi="Tahoma" w:cs="Tahoma"/>
          <w:sz w:val="22"/>
          <w:szCs w:val="22"/>
        </w:rPr>
        <w:t>8</w:t>
      </w:r>
      <w:r>
        <w:rPr>
          <w:rFonts w:ascii="Tahoma" w:hAnsi="Tahoma" w:cs="Tahoma"/>
          <w:sz w:val="22"/>
          <w:szCs w:val="22"/>
        </w:rPr>
        <w:t>;</w:t>
      </w:r>
    </w:p>
    <w:p w:rsidR="002A20CF" w:rsidRDefault="002A20CF" w:rsidP="0035435C">
      <w:pPr>
        <w:pStyle w:val="Akapitzlist"/>
        <w:suppressAutoHyphens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oprawa wykonana w I lub II klasie ochronności;</w:t>
      </w:r>
    </w:p>
    <w:p w:rsidR="002A20CF" w:rsidRDefault="002A20CF" w:rsidP="0035435C">
      <w:pPr>
        <w:pStyle w:val="Akapitzlist"/>
        <w:suppressAutoHyphens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dane fotometryczne oprawy, pozwalające zweryfikować możliwość zastosowania opraw w danym projekcie muszą być, umieszczone na stronie internetowej producenta oraz w ogólnodostępnych programach stworzonych do tego celu;</w:t>
      </w:r>
    </w:p>
    <w:p w:rsidR="0035435C" w:rsidRDefault="002A20CF" w:rsidP="0035435C">
      <w:pPr>
        <w:pStyle w:val="Akapitzlist"/>
        <w:suppressAutoHyphens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oprawa musi posiadać certyfikat wydany przez laboratorium badawcze posiadając</w:t>
      </w:r>
      <w:r w:rsidR="00F80012">
        <w:rPr>
          <w:rFonts w:ascii="Tahoma" w:hAnsi="Tahoma" w:cs="Tahoma"/>
          <w:sz w:val="22"/>
          <w:szCs w:val="22"/>
        </w:rPr>
        <w:t xml:space="preserve">ą </w:t>
      </w:r>
      <w:r>
        <w:rPr>
          <w:rFonts w:ascii="Tahoma" w:hAnsi="Tahoma" w:cs="Tahoma"/>
          <w:sz w:val="22"/>
          <w:szCs w:val="22"/>
        </w:rPr>
        <w:t>akredytację na terenie UE Certyfikat ENEC potwierdzający jej wykonanie według norm europej</w:t>
      </w:r>
      <w:r w:rsidR="00456AC0">
        <w:rPr>
          <w:rFonts w:ascii="Tahoma" w:hAnsi="Tahoma" w:cs="Tahoma"/>
          <w:sz w:val="22"/>
          <w:szCs w:val="22"/>
        </w:rPr>
        <w:t>skich.</w:t>
      </w:r>
    </w:p>
    <w:p w:rsidR="009E043B" w:rsidRDefault="009E043B" w:rsidP="0035435C">
      <w:pPr>
        <w:pStyle w:val="Akapitzlist"/>
        <w:suppressAutoHyphens/>
        <w:ind w:left="284"/>
        <w:jc w:val="both"/>
        <w:rPr>
          <w:rFonts w:ascii="Tahoma" w:hAnsi="Tahoma" w:cs="Tahoma"/>
          <w:sz w:val="22"/>
          <w:szCs w:val="22"/>
        </w:rPr>
      </w:pPr>
    </w:p>
    <w:p w:rsidR="00EC42E3" w:rsidRDefault="00EC42E3" w:rsidP="0035435C">
      <w:pPr>
        <w:pStyle w:val="Akapitzlist"/>
        <w:suppressAutoHyphens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Przy zastosowaniu opraw typu LED zawieszonych na wysokości 10m </w:t>
      </w:r>
      <w:r w:rsidR="001C2F85">
        <w:rPr>
          <w:rFonts w:ascii="Tahoma" w:hAnsi="Tahoma" w:cs="Tahoma"/>
          <w:sz w:val="22"/>
          <w:szCs w:val="22"/>
        </w:rPr>
        <w:t xml:space="preserve">parametry obliczeń oświetleniowych </w:t>
      </w:r>
      <w:r>
        <w:rPr>
          <w:rFonts w:ascii="Tahoma" w:hAnsi="Tahoma" w:cs="Tahoma"/>
          <w:sz w:val="22"/>
          <w:szCs w:val="22"/>
        </w:rPr>
        <w:t>(powierzchnia obliczeniowa pozioma przejścia dla pieszych</w:t>
      </w:r>
      <w:r w:rsidR="00687CAF">
        <w:rPr>
          <w:rFonts w:ascii="Tahoma" w:hAnsi="Tahoma" w:cs="Tahoma"/>
          <w:sz w:val="22"/>
          <w:szCs w:val="22"/>
        </w:rPr>
        <w:t xml:space="preserve"> 42 m</w:t>
      </w:r>
      <w:r w:rsidR="00687CAF">
        <w:rPr>
          <w:rFonts w:ascii="Tahoma" w:hAnsi="Tahoma" w:cs="Tahoma"/>
          <w:sz w:val="22"/>
          <w:szCs w:val="22"/>
          <w:vertAlign w:val="superscript"/>
        </w:rPr>
        <w:t>2</w:t>
      </w:r>
      <w:r>
        <w:rPr>
          <w:rFonts w:ascii="Tahoma" w:hAnsi="Tahoma" w:cs="Tahoma"/>
          <w:sz w:val="22"/>
          <w:szCs w:val="22"/>
        </w:rPr>
        <w:t>) nie mogą być mniejsze niż:</w:t>
      </w:r>
    </w:p>
    <w:p w:rsidR="00EC42E3" w:rsidRDefault="00EC42E3" w:rsidP="0035435C">
      <w:pPr>
        <w:pStyle w:val="Akapitzlist"/>
        <w:suppressAutoHyphens/>
        <w:ind w:left="284"/>
        <w:jc w:val="both"/>
        <w:rPr>
          <w:rFonts w:ascii="Tahoma" w:hAnsi="Tahoma" w:cs="Tahoma"/>
          <w:sz w:val="22"/>
          <w:szCs w:val="22"/>
          <w:lang w:val="en-US"/>
        </w:rPr>
      </w:pPr>
      <w:proofErr w:type="spellStart"/>
      <w:r w:rsidRPr="00EC42E3">
        <w:rPr>
          <w:rFonts w:ascii="Tahoma" w:hAnsi="Tahoma" w:cs="Tahoma"/>
          <w:sz w:val="22"/>
          <w:szCs w:val="22"/>
          <w:lang w:val="en-US"/>
        </w:rPr>
        <w:t>Em</w:t>
      </w:r>
      <w:proofErr w:type="spellEnd"/>
      <w:r w:rsidRPr="00EC42E3">
        <w:rPr>
          <w:rFonts w:ascii="Tahoma" w:hAnsi="Tahoma" w:cs="Tahoma"/>
          <w:sz w:val="22"/>
          <w:szCs w:val="22"/>
          <w:lang w:val="en-US"/>
        </w:rPr>
        <w:t xml:space="preserve"> = 47 lx, </w:t>
      </w:r>
      <w:proofErr w:type="spellStart"/>
      <w:r w:rsidRPr="00EC42E3">
        <w:rPr>
          <w:rFonts w:ascii="Tahoma" w:hAnsi="Tahoma" w:cs="Tahoma"/>
          <w:sz w:val="22"/>
          <w:szCs w:val="22"/>
          <w:lang w:val="en-US"/>
        </w:rPr>
        <w:t>Emin</w:t>
      </w:r>
      <w:proofErr w:type="spellEnd"/>
      <w:r w:rsidRPr="00EC42E3">
        <w:rPr>
          <w:rFonts w:ascii="Tahoma" w:hAnsi="Tahoma" w:cs="Tahoma"/>
          <w:sz w:val="22"/>
          <w:szCs w:val="22"/>
          <w:lang w:val="en-US"/>
        </w:rPr>
        <w:t xml:space="preserve"> = 40 lx, </w:t>
      </w:r>
      <w:proofErr w:type="spellStart"/>
      <w:r w:rsidRPr="00EC42E3">
        <w:rPr>
          <w:rFonts w:ascii="Tahoma" w:hAnsi="Tahoma" w:cs="Tahoma"/>
          <w:sz w:val="22"/>
          <w:szCs w:val="22"/>
          <w:lang w:val="en-US"/>
        </w:rPr>
        <w:t>Emax</w:t>
      </w:r>
      <w:proofErr w:type="spellEnd"/>
      <w:r w:rsidRPr="00EC42E3">
        <w:rPr>
          <w:rFonts w:ascii="Tahoma" w:hAnsi="Tahoma" w:cs="Tahoma"/>
          <w:sz w:val="22"/>
          <w:szCs w:val="22"/>
          <w:lang w:val="en-US"/>
        </w:rPr>
        <w:t xml:space="preserve"> = 53 lx, </w:t>
      </w:r>
      <w:proofErr w:type="spellStart"/>
      <w:r w:rsidRPr="00EC42E3">
        <w:rPr>
          <w:rFonts w:ascii="Tahoma" w:hAnsi="Tahoma" w:cs="Tahoma"/>
          <w:sz w:val="22"/>
          <w:szCs w:val="22"/>
          <w:lang w:val="en-US"/>
        </w:rPr>
        <w:t>Emin</w:t>
      </w:r>
      <w:proofErr w:type="spellEnd"/>
      <w:r w:rsidRPr="00EC42E3">
        <w:rPr>
          <w:rFonts w:ascii="Tahoma" w:hAnsi="Tahoma" w:cs="Tahoma"/>
          <w:sz w:val="22"/>
          <w:szCs w:val="22"/>
          <w:lang w:val="en-US"/>
        </w:rPr>
        <w:t xml:space="preserve">/ </w:t>
      </w:r>
      <w:proofErr w:type="spellStart"/>
      <w:r w:rsidRPr="00EC42E3">
        <w:rPr>
          <w:rFonts w:ascii="Tahoma" w:hAnsi="Tahoma" w:cs="Tahoma"/>
          <w:sz w:val="22"/>
          <w:szCs w:val="22"/>
          <w:lang w:val="en-US"/>
        </w:rPr>
        <w:t>Em</w:t>
      </w:r>
      <w:proofErr w:type="spellEnd"/>
      <w:r w:rsidRPr="00EC42E3">
        <w:rPr>
          <w:rFonts w:ascii="Tahoma" w:hAnsi="Tahoma" w:cs="Tahoma"/>
          <w:sz w:val="22"/>
          <w:szCs w:val="22"/>
          <w:lang w:val="en-US"/>
        </w:rPr>
        <w:t xml:space="preserve"> = 0,843, </w:t>
      </w:r>
      <w:proofErr w:type="spellStart"/>
      <w:r w:rsidRPr="00EC42E3">
        <w:rPr>
          <w:rFonts w:ascii="Tahoma" w:hAnsi="Tahoma" w:cs="Tahoma"/>
          <w:sz w:val="22"/>
          <w:szCs w:val="22"/>
          <w:lang w:val="en-US"/>
        </w:rPr>
        <w:t>Emin</w:t>
      </w:r>
      <w:proofErr w:type="spellEnd"/>
      <w:r w:rsidRPr="00EC42E3">
        <w:rPr>
          <w:rFonts w:ascii="Tahoma" w:hAnsi="Tahoma" w:cs="Tahoma"/>
          <w:sz w:val="22"/>
          <w:szCs w:val="22"/>
          <w:lang w:val="en-US"/>
        </w:rPr>
        <w:t>/</w:t>
      </w:r>
      <w:proofErr w:type="spellStart"/>
      <w:r w:rsidRPr="00EC42E3">
        <w:rPr>
          <w:rFonts w:ascii="Tahoma" w:hAnsi="Tahoma" w:cs="Tahoma"/>
          <w:sz w:val="22"/>
          <w:szCs w:val="22"/>
          <w:lang w:val="en-US"/>
        </w:rPr>
        <w:t>Emax</w:t>
      </w:r>
      <w:proofErr w:type="spellEnd"/>
      <w:r w:rsidRPr="00EC42E3">
        <w:rPr>
          <w:rFonts w:ascii="Tahoma" w:hAnsi="Tahoma" w:cs="Tahoma"/>
          <w:sz w:val="22"/>
          <w:szCs w:val="22"/>
          <w:lang w:val="en-US"/>
        </w:rPr>
        <w:t xml:space="preserve"> = 0</w:t>
      </w:r>
      <w:r>
        <w:rPr>
          <w:rFonts w:ascii="Tahoma" w:hAnsi="Tahoma" w:cs="Tahoma"/>
          <w:sz w:val="22"/>
          <w:szCs w:val="22"/>
          <w:lang w:val="en-US"/>
        </w:rPr>
        <w:t>,</w:t>
      </w:r>
      <w:r w:rsidRPr="00EC42E3">
        <w:rPr>
          <w:rFonts w:ascii="Tahoma" w:hAnsi="Tahoma" w:cs="Tahoma"/>
          <w:sz w:val="22"/>
          <w:szCs w:val="22"/>
          <w:lang w:val="en-US"/>
        </w:rPr>
        <w:t>758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:rsidR="00EC42E3" w:rsidRDefault="00EC42E3" w:rsidP="00EC42E3">
      <w:pPr>
        <w:pStyle w:val="Akapitzlist"/>
        <w:suppressAutoHyphens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Przy zastosowaniu opraw typu LED zawieszonych na wysokości 12m </w:t>
      </w:r>
      <w:r w:rsidR="001C2F85">
        <w:rPr>
          <w:rFonts w:ascii="Tahoma" w:hAnsi="Tahoma" w:cs="Tahoma"/>
          <w:sz w:val="22"/>
          <w:szCs w:val="22"/>
        </w:rPr>
        <w:t xml:space="preserve">parametry obliczeń oświetleniowych </w:t>
      </w:r>
      <w:r>
        <w:rPr>
          <w:rFonts w:ascii="Tahoma" w:hAnsi="Tahoma" w:cs="Tahoma"/>
          <w:sz w:val="22"/>
          <w:szCs w:val="22"/>
        </w:rPr>
        <w:t>(powierzchnia obliczeniowa pozioma przejścia dla pieszych</w:t>
      </w:r>
      <w:r w:rsidR="00687CAF">
        <w:rPr>
          <w:rFonts w:ascii="Tahoma" w:hAnsi="Tahoma" w:cs="Tahoma"/>
          <w:sz w:val="22"/>
          <w:szCs w:val="22"/>
        </w:rPr>
        <w:t xml:space="preserve"> 42 m</w:t>
      </w:r>
      <w:r w:rsidR="00687CAF">
        <w:rPr>
          <w:rFonts w:ascii="Tahoma" w:hAnsi="Tahoma" w:cs="Tahoma"/>
          <w:sz w:val="22"/>
          <w:szCs w:val="22"/>
          <w:vertAlign w:val="superscript"/>
        </w:rPr>
        <w:t>2</w:t>
      </w:r>
      <w:r>
        <w:rPr>
          <w:rFonts w:ascii="Tahoma" w:hAnsi="Tahoma" w:cs="Tahoma"/>
          <w:sz w:val="22"/>
          <w:szCs w:val="22"/>
        </w:rPr>
        <w:t>) nie mogą być mniejsze niż:</w:t>
      </w:r>
    </w:p>
    <w:p w:rsidR="00EC42E3" w:rsidRDefault="00EC42E3" w:rsidP="0035435C">
      <w:pPr>
        <w:pStyle w:val="Akapitzlist"/>
        <w:suppressAutoHyphens/>
        <w:ind w:left="284"/>
        <w:jc w:val="both"/>
        <w:rPr>
          <w:rFonts w:ascii="Tahoma" w:hAnsi="Tahoma" w:cs="Tahoma"/>
          <w:sz w:val="22"/>
          <w:szCs w:val="22"/>
          <w:lang w:val="en-US"/>
        </w:rPr>
      </w:pPr>
      <w:proofErr w:type="spellStart"/>
      <w:r w:rsidRPr="00EC42E3">
        <w:rPr>
          <w:rFonts w:ascii="Tahoma" w:hAnsi="Tahoma" w:cs="Tahoma"/>
          <w:sz w:val="22"/>
          <w:szCs w:val="22"/>
          <w:lang w:val="en-US"/>
        </w:rPr>
        <w:t>Em</w:t>
      </w:r>
      <w:proofErr w:type="spellEnd"/>
      <w:r w:rsidRPr="00EC42E3">
        <w:rPr>
          <w:rFonts w:ascii="Tahoma" w:hAnsi="Tahoma" w:cs="Tahoma"/>
          <w:sz w:val="22"/>
          <w:szCs w:val="22"/>
          <w:lang w:val="en-US"/>
        </w:rPr>
        <w:t xml:space="preserve"> = 4</w:t>
      </w:r>
      <w:r>
        <w:rPr>
          <w:rFonts w:ascii="Tahoma" w:hAnsi="Tahoma" w:cs="Tahoma"/>
          <w:sz w:val="22"/>
          <w:szCs w:val="22"/>
          <w:lang w:val="en-US"/>
        </w:rPr>
        <w:t>8</w:t>
      </w:r>
      <w:r w:rsidRPr="00EC42E3">
        <w:rPr>
          <w:rFonts w:ascii="Tahoma" w:hAnsi="Tahoma" w:cs="Tahoma"/>
          <w:sz w:val="22"/>
          <w:szCs w:val="22"/>
          <w:lang w:val="en-US"/>
        </w:rPr>
        <w:t xml:space="preserve"> lx, </w:t>
      </w:r>
      <w:proofErr w:type="spellStart"/>
      <w:r w:rsidRPr="00EC42E3">
        <w:rPr>
          <w:rFonts w:ascii="Tahoma" w:hAnsi="Tahoma" w:cs="Tahoma"/>
          <w:sz w:val="22"/>
          <w:szCs w:val="22"/>
          <w:lang w:val="en-US"/>
        </w:rPr>
        <w:t>Emin</w:t>
      </w:r>
      <w:proofErr w:type="spellEnd"/>
      <w:r w:rsidRPr="00EC42E3">
        <w:rPr>
          <w:rFonts w:ascii="Tahoma" w:hAnsi="Tahoma" w:cs="Tahoma"/>
          <w:sz w:val="22"/>
          <w:szCs w:val="22"/>
          <w:lang w:val="en-US"/>
        </w:rPr>
        <w:t xml:space="preserve"> = 4</w:t>
      </w:r>
      <w:r>
        <w:rPr>
          <w:rFonts w:ascii="Tahoma" w:hAnsi="Tahoma" w:cs="Tahoma"/>
          <w:sz w:val="22"/>
          <w:szCs w:val="22"/>
          <w:lang w:val="en-US"/>
        </w:rPr>
        <w:t>1</w:t>
      </w:r>
      <w:r w:rsidRPr="00EC42E3">
        <w:rPr>
          <w:rFonts w:ascii="Tahoma" w:hAnsi="Tahoma" w:cs="Tahoma"/>
          <w:sz w:val="22"/>
          <w:szCs w:val="22"/>
          <w:lang w:val="en-US"/>
        </w:rPr>
        <w:t xml:space="preserve"> lx, </w:t>
      </w:r>
      <w:proofErr w:type="spellStart"/>
      <w:r w:rsidRPr="00EC42E3">
        <w:rPr>
          <w:rFonts w:ascii="Tahoma" w:hAnsi="Tahoma" w:cs="Tahoma"/>
          <w:sz w:val="22"/>
          <w:szCs w:val="22"/>
          <w:lang w:val="en-US"/>
        </w:rPr>
        <w:t>Emax</w:t>
      </w:r>
      <w:proofErr w:type="spellEnd"/>
      <w:r w:rsidRPr="00EC42E3">
        <w:rPr>
          <w:rFonts w:ascii="Tahoma" w:hAnsi="Tahoma" w:cs="Tahoma"/>
          <w:sz w:val="22"/>
          <w:szCs w:val="22"/>
          <w:lang w:val="en-US"/>
        </w:rPr>
        <w:t xml:space="preserve"> = 5</w:t>
      </w:r>
      <w:r>
        <w:rPr>
          <w:rFonts w:ascii="Tahoma" w:hAnsi="Tahoma" w:cs="Tahoma"/>
          <w:sz w:val="22"/>
          <w:szCs w:val="22"/>
          <w:lang w:val="en-US"/>
        </w:rPr>
        <w:t>2</w:t>
      </w:r>
      <w:r w:rsidRPr="00EC42E3">
        <w:rPr>
          <w:rFonts w:ascii="Tahoma" w:hAnsi="Tahoma" w:cs="Tahoma"/>
          <w:sz w:val="22"/>
          <w:szCs w:val="22"/>
          <w:lang w:val="en-US"/>
        </w:rPr>
        <w:t xml:space="preserve"> lx, </w:t>
      </w:r>
      <w:proofErr w:type="spellStart"/>
      <w:r w:rsidRPr="00EC42E3">
        <w:rPr>
          <w:rFonts w:ascii="Tahoma" w:hAnsi="Tahoma" w:cs="Tahoma"/>
          <w:sz w:val="22"/>
          <w:szCs w:val="22"/>
          <w:lang w:val="en-US"/>
        </w:rPr>
        <w:t>Emin</w:t>
      </w:r>
      <w:proofErr w:type="spellEnd"/>
      <w:r w:rsidRPr="00EC42E3">
        <w:rPr>
          <w:rFonts w:ascii="Tahoma" w:hAnsi="Tahoma" w:cs="Tahoma"/>
          <w:sz w:val="22"/>
          <w:szCs w:val="22"/>
          <w:lang w:val="en-US"/>
        </w:rPr>
        <w:t xml:space="preserve">/ </w:t>
      </w:r>
      <w:proofErr w:type="spellStart"/>
      <w:r w:rsidRPr="00EC42E3">
        <w:rPr>
          <w:rFonts w:ascii="Tahoma" w:hAnsi="Tahoma" w:cs="Tahoma"/>
          <w:sz w:val="22"/>
          <w:szCs w:val="22"/>
          <w:lang w:val="en-US"/>
        </w:rPr>
        <w:t>Em</w:t>
      </w:r>
      <w:proofErr w:type="spellEnd"/>
      <w:r w:rsidRPr="00EC42E3">
        <w:rPr>
          <w:rFonts w:ascii="Tahoma" w:hAnsi="Tahoma" w:cs="Tahoma"/>
          <w:sz w:val="22"/>
          <w:szCs w:val="22"/>
          <w:lang w:val="en-US"/>
        </w:rPr>
        <w:t xml:space="preserve"> = 0,8</w:t>
      </w:r>
      <w:r>
        <w:rPr>
          <w:rFonts w:ascii="Tahoma" w:hAnsi="Tahoma" w:cs="Tahoma"/>
          <w:sz w:val="22"/>
          <w:szCs w:val="22"/>
          <w:lang w:val="en-US"/>
        </w:rPr>
        <w:t>54</w:t>
      </w:r>
      <w:r w:rsidRPr="00EC42E3">
        <w:rPr>
          <w:rFonts w:ascii="Tahoma" w:hAnsi="Tahoma" w:cs="Tahoma"/>
          <w:sz w:val="22"/>
          <w:szCs w:val="22"/>
          <w:lang w:val="en-US"/>
        </w:rPr>
        <w:t xml:space="preserve">, </w:t>
      </w:r>
      <w:proofErr w:type="spellStart"/>
      <w:r w:rsidRPr="00EC42E3">
        <w:rPr>
          <w:rFonts w:ascii="Tahoma" w:hAnsi="Tahoma" w:cs="Tahoma"/>
          <w:sz w:val="22"/>
          <w:szCs w:val="22"/>
          <w:lang w:val="en-US"/>
        </w:rPr>
        <w:t>Emin</w:t>
      </w:r>
      <w:proofErr w:type="spellEnd"/>
      <w:r w:rsidRPr="00EC42E3">
        <w:rPr>
          <w:rFonts w:ascii="Tahoma" w:hAnsi="Tahoma" w:cs="Tahoma"/>
          <w:sz w:val="22"/>
          <w:szCs w:val="22"/>
          <w:lang w:val="en-US"/>
        </w:rPr>
        <w:t>/</w:t>
      </w:r>
      <w:proofErr w:type="spellStart"/>
      <w:r w:rsidRPr="00EC42E3">
        <w:rPr>
          <w:rFonts w:ascii="Tahoma" w:hAnsi="Tahoma" w:cs="Tahoma"/>
          <w:sz w:val="22"/>
          <w:szCs w:val="22"/>
          <w:lang w:val="en-US"/>
        </w:rPr>
        <w:t>Emax</w:t>
      </w:r>
      <w:proofErr w:type="spellEnd"/>
      <w:r w:rsidRPr="00EC42E3">
        <w:rPr>
          <w:rFonts w:ascii="Tahoma" w:hAnsi="Tahoma" w:cs="Tahoma"/>
          <w:sz w:val="22"/>
          <w:szCs w:val="22"/>
          <w:lang w:val="en-US"/>
        </w:rPr>
        <w:t xml:space="preserve"> = 0</w:t>
      </w:r>
      <w:r>
        <w:rPr>
          <w:rFonts w:ascii="Tahoma" w:hAnsi="Tahoma" w:cs="Tahoma"/>
          <w:sz w:val="22"/>
          <w:szCs w:val="22"/>
          <w:lang w:val="en-US"/>
        </w:rPr>
        <w:t>,</w:t>
      </w:r>
      <w:r w:rsidRPr="00EC42E3">
        <w:rPr>
          <w:rFonts w:ascii="Tahoma" w:hAnsi="Tahoma" w:cs="Tahoma"/>
          <w:sz w:val="22"/>
          <w:szCs w:val="22"/>
          <w:lang w:val="en-US"/>
        </w:rPr>
        <w:t>7</w:t>
      </w:r>
      <w:r>
        <w:rPr>
          <w:rFonts w:ascii="Tahoma" w:hAnsi="Tahoma" w:cs="Tahoma"/>
          <w:sz w:val="22"/>
          <w:szCs w:val="22"/>
          <w:lang w:val="en-US"/>
        </w:rPr>
        <w:t>92.</w:t>
      </w:r>
    </w:p>
    <w:p w:rsidR="00456AC0" w:rsidRDefault="00456AC0" w:rsidP="0035435C">
      <w:pPr>
        <w:pStyle w:val="Akapitzlist"/>
        <w:suppressAutoHyphens/>
        <w:ind w:left="284"/>
        <w:jc w:val="both"/>
        <w:rPr>
          <w:rFonts w:ascii="Tahoma" w:hAnsi="Tahoma" w:cs="Tahoma"/>
          <w:sz w:val="22"/>
          <w:szCs w:val="22"/>
        </w:rPr>
      </w:pPr>
      <w:r w:rsidRPr="00456AC0">
        <w:rPr>
          <w:rFonts w:ascii="Tahoma" w:hAnsi="Tahoma" w:cs="Tahoma"/>
          <w:sz w:val="22"/>
          <w:szCs w:val="22"/>
        </w:rPr>
        <w:t xml:space="preserve">Wykonawca zobowiązany jest </w:t>
      </w:r>
      <w:r>
        <w:rPr>
          <w:rFonts w:ascii="Tahoma" w:hAnsi="Tahoma" w:cs="Tahoma"/>
          <w:sz w:val="22"/>
          <w:szCs w:val="22"/>
        </w:rPr>
        <w:t>do załączenia do oferty obliczeń oświetleniowych potwierdzających spełnienie powyższych wymagań.</w:t>
      </w:r>
    </w:p>
    <w:p w:rsidR="0035435C" w:rsidRPr="00A366AB" w:rsidRDefault="0035435C" w:rsidP="0035435C">
      <w:pPr>
        <w:pStyle w:val="Akapitzlist"/>
        <w:suppressAutoHyphens/>
        <w:ind w:left="284"/>
        <w:jc w:val="both"/>
        <w:rPr>
          <w:rFonts w:ascii="Tahoma" w:hAnsi="Tahoma" w:cs="Tahoma"/>
          <w:sz w:val="22"/>
          <w:szCs w:val="22"/>
        </w:rPr>
      </w:pPr>
      <w:r w:rsidRPr="00A366AB">
        <w:rPr>
          <w:rFonts w:ascii="Tahoma" w:hAnsi="Tahoma" w:cs="Tahoma"/>
          <w:sz w:val="22"/>
          <w:szCs w:val="22"/>
        </w:rPr>
        <w:lastRenderedPageBreak/>
        <w:t>Słup oświetleniowy</w:t>
      </w:r>
      <w:r w:rsidR="004268B8" w:rsidRPr="00A366AB">
        <w:rPr>
          <w:rFonts w:ascii="Tahoma" w:hAnsi="Tahoma" w:cs="Tahoma"/>
          <w:sz w:val="22"/>
          <w:szCs w:val="22"/>
        </w:rPr>
        <w:t>:</w:t>
      </w:r>
    </w:p>
    <w:p w:rsidR="007F0A02" w:rsidRDefault="004268B8" w:rsidP="0035435C">
      <w:pPr>
        <w:pStyle w:val="Akapitzlist"/>
        <w:suppressAutoHyphens/>
        <w:ind w:left="284"/>
        <w:jc w:val="both"/>
        <w:rPr>
          <w:rFonts w:ascii="Tahoma" w:hAnsi="Tahoma" w:cs="Tahoma"/>
          <w:sz w:val="22"/>
          <w:szCs w:val="22"/>
        </w:rPr>
      </w:pPr>
      <w:r w:rsidRPr="00A366AB">
        <w:rPr>
          <w:rFonts w:ascii="Tahoma" w:hAnsi="Tahoma" w:cs="Tahoma"/>
          <w:sz w:val="22"/>
          <w:szCs w:val="22"/>
        </w:rPr>
        <w:t>Kompletny słup</w:t>
      </w:r>
      <w:r w:rsidR="00EC6F00">
        <w:rPr>
          <w:rFonts w:ascii="Tahoma" w:hAnsi="Tahoma" w:cs="Tahoma"/>
          <w:sz w:val="22"/>
          <w:szCs w:val="22"/>
        </w:rPr>
        <w:t xml:space="preserve"> </w:t>
      </w:r>
      <w:r w:rsidR="00EC6F00" w:rsidRPr="00A366AB">
        <w:rPr>
          <w:rFonts w:ascii="Tahoma" w:hAnsi="Tahoma" w:cs="Tahoma"/>
          <w:sz w:val="22"/>
          <w:szCs w:val="22"/>
        </w:rPr>
        <w:t>(fundament, podstawa słupa oświetleniowego, wysięgnik dwuramienny 60° typu „V” o długości do 2,0m, tabliczka bezpiecznikowa)</w:t>
      </w:r>
      <w:r w:rsidRPr="00A366AB">
        <w:rPr>
          <w:rFonts w:ascii="Tahoma" w:hAnsi="Tahoma" w:cs="Tahoma"/>
          <w:sz w:val="22"/>
          <w:szCs w:val="22"/>
        </w:rPr>
        <w:t xml:space="preserve"> aluminiowy oświetleniowy</w:t>
      </w:r>
      <w:r w:rsidR="008A214B">
        <w:rPr>
          <w:rFonts w:ascii="Tahoma" w:hAnsi="Tahoma" w:cs="Tahoma"/>
          <w:sz w:val="22"/>
          <w:szCs w:val="22"/>
        </w:rPr>
        <w:t xml:space="preserve"> o całkowitej wysokości 10m lub 12m</w:t>
      </w:r>
      <w:r w:rsidRPr="00A366AB">
        <w:rPr>
          <w:rFonts w:ascii="Tahoma" w:hAnsi="Tahoma" w:cs="Tahoma"/>
          <w:sz w:val="22"/>
          <w:szCs w:val="22"/>
        </w:rPr>
        <w:t xml:space="preserve"> anodowany</w:t>
      </w:r>
      <w:r w:rsidR="00EC42E3">
        <w:rPr>
          <w:rFonts w:ascii="Tahoma" w:hAnsi="Tahoma" w:cs="Tahoma"/>
          <w:sz w:val="22"/>
          <w:szCs w:val="22"/>
        </w:rPr>
        <w:t xml:space="preserve"> (kolor</w:t>
      </w:r>
      <w:r w:rsidR="0088747E">
        <w:rPr>
          <w:rFonts w:ascii="Tahoma" w:hAnsi="Tahoma" w:cs="Tahoma"/>
          <w:sz w:val="22"/>
          <w:szCs w:val="22"/>
        </w:rPr>
        <w:t xml:space="preserve"> słupa</w:t>
      </w:r>
      <w:r w:rsidR="00EC6F00">
        <w:rPr>
          <w:rFonts w:ascii="Tahoma" w:hAnsi="Tahoma" w:cs="Tahoma"/>
          <w:sz w:val="22"/>
          <w:szCs w:val="22"/>
        </w:rPr>
        <w:t xml:space="preserve"> grafitowy)</w:t>
      </w:r>
      <w:r w:rsidRPr="00A366AB">
        <w:rPr>
          <w:rFonts w:ascii="Tahoma" w:hAnsi="Tahoma" w:cs="Tahoma"/>
          <w:sz w:val="22"/>
          <w:szCs w:val="22"/>
        </w:rPr>
        <w:t>, podstawa</w:t>
      </w:r>
      <w:r w:rsidR="008C3871">
        <w:rPr>
          <w:rFonts w:ascii="Tahoma" w:hAnsi="Tahoma" w:cs="Tahoma"/>
          <w:sz w:val="22"/>
          <w:szCs w:val="22"/>
        </w:rPr>
        <w:t xml:space="preserve"> słupa zabezpieczona elastomerem poliuretanowym do wysokości dolnej krawędzi wnęki, elastomer poliuretanowy </w:t>
      </w:r>
      <w:r w:rsidRPr="00A366AB">
        <w:rPr>
          <w:rFonts w:ascii="Tahoma" w:hAnsi="Tahoma" w:cs="Tahoma"/>
          <w:sz w:val="22"/>
          <w:szCs w:val="22"/>
        </w:rPr>
        <w:t>w kolorze słupa</w:t>
      </w:r>
      <w:r w:rsidR="007F0A02" w:rsidRPr="00A366AB">
        <w:rPr>
          <w:rFonts w:ascii="Tahoma" w:hAnsi="Tahoma" w:cs="Tahoma"/>
          <w:sz w:val="22"/>
          <w:szCs w:val="22"/>
        </w:rPr>
        <w:t>.</w:t>
      </w:r>
      <w:r w:rsidR="003A2328">
        <w:rPr>
          <w:rFonts w:ascii="Tahoma" w:hAnsi="Tahoma" w:cs="Tahoma"/>
          <w:sz w:val="22"/>
          <w:szCs w:val="22"/>
        </w:rPr>
        <w:t xml:space="preserve"> W przypadku </w:t>
      </w:r>
      <w:r w:rsidR="008A214B">
        <w:rPr>
          <w:rFonts w:ascii="Tahoma" w:hAnsi="Tahoma" w:cs="Tahoma"/>
          <w:sz w:val="22"/>
          <w:szCs w:val="22"/>
        </w:rPr>
        <w:t>słupa o wysokości 12m należy zastosować słup wzmocniony.</w:t>
      </w:r>
    </w:p>
    <w:p w:rsidR="003F1B93" w:rsidRDefault="003F1B93" w:rsidP="0035435C">
      <w:pPr>
        <w:pStyle w:val="Akapitzlist"/>
        <w:suppressAutoHyphens/>
        <w:ind w:left="284"/>
        <w:jc w:val="both"/>
        <w:rPr>
          <w:rFonts w:ascii="Tahoma" w:hAnsi="Tahoma" w:cs="Tahoma"/>
          <w:sz w:val="22"/>
          <w:szCs w:val="22"/>
        </w:rPr>
      </w:pPr>
    </w:p>
    <w:p w:rsidR="003F1B93" w:rsidRPr="003F1B93" w:rsidRDefault="003F1B93" w:rsidP="003F1B93">
      <w:pPr>
        <w:ind w:left="284"/>
        <w:rPr>
          <w:rFonts w:ascii="Tahoma" w:hAnsi="Tahoma" w:cs="Tahoma"/>
          <w:sz w:val="22"/>
          <w:szCs w:val="22"/>
        </w:rPr>
      </w:pPr>
      <w:r w:rsidRPr="003F1B93">
        <w:rPr>
          <w:rFonts w:ascii="Tahoma" w:hAnsi="Tahoma" w:cs="Tahoma"/>
          <w:color w:val="000000"/>
          <w:sz w:val="22"/>
          <w:szCs w:val="22"/>
        </w:rPr>
        <w:t xml:space="preserve">Zgodnie z art. 10 ustawy „Prawo Budowlane” z dnia 7 lipca 1994 (Dz. U. z 2003r. Nr 207, poz. 2016) z późniejszymi zmianami należy stosować jedynie wyroby dopuszczone do obrotu zgodnie z wymogami ustawy „O Wyrobach Budowlanych” z dnia  16 kwietnia 2004r (Dz. U. z 2004r. Nr 92, poz. 881). </w:t>
      </w:r>
    </w:p>
    <w:p w:rsidR="003F1B93" w:rsidRPr="003F1B93" w:rsidRDefault="003F1B93" w:rsidP="003F1B93">
      <w:pPr>
        <w:ind w:left="284"/>
        <w:rPr>
          <w:rFonts w:ascii="Tahoma" w:hAnsi="Tahoma" w:cs="Tahoma"/>
          <w:sz w:val="22"/>
          <w:szCs w:val="22"/>
        </w:rPr>
      </w:pPr>
      <w:r w:rsidRPr="003F1B93">
        <w:rPr>
          <w:rFonts w:ascii="Tahoma" w:hAnsi="Tahoma" w:cs="Tahoma"/>
          <w:color w:val="000000"/>
          <w:sz w:val="22"/>
          <w:szCs w:val="22"/>
        </w:rPr>
        <w:t>W związku z powyższym należy stosować jedynie wyroby posiadające deklaracje zgodności z normami zharmonizowanymi i oznakowane znakiem  „CE”  lub znakiem budowlanym „B”.</w:t>
      </w:r>
    </w:p>
    <w:p w:rsidR="003F1B93" w:rsidRPr="003F1B93" w:rsidRDefault="003F1B93" w:rsidP="0035435C">
      <w:pPr>
        <w:pStyle w:val="Akapitzlist"/>
        <w:suppressAutoHyphens/>
        <w:ind w:left="284"/>
        <w:jc w:val="both"/>
        <w:rPr>
          <w:rFonts w:ascii="Tahoma" w:hAnsi="Tahoma" w:cs="Tahoma"/>
          <w:sz w:val="22"/>
          <w:szCs w:val="22"/>
        </w:rPr>
      </w:pPr>
    </w:p>
    <w:p w:rsidR="00B372EC" w:rsidRPr="00A366AB" w:rsidRDefault="00B372EC" w:rsidP="00B372E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F1B93" w:rsidRDefault="00B372EC" w:rsidP="00A366AB">
      <w:pPr>
        <w:pStyle w:val="Akapitzlist"/>
        <w:numPr>
          <w:ilvl w:val="0"/>
          <w:numId w:val="2"/>
        </w:numPr>
        <w:suppressAutoHyphens/>
        <w:ind w:left="284"/>
        <w:jc w:val="both"/>
        <w:rPr>
          <w:rFonts w:ascii="Tahoma" w:hAnsi="Tahoma" w:cs="Tahoma"/>
          <w:sz w:val="22"/>
          <w:szCs w:val="22"/>
        </w:rPr>
      </w:pPr>
      <w:r w:rsidRPr="00A366AB">
        <w:rPr>
          <w:rFonts w:ascii="Tahoma" w:hAnsi="Tahoma" w:cs="Tahoma"/>
          <w:sz w:val="22"/>
          <w:szCs w:val="22"/>
        </w:rPr>
        <w:t>Wykonawca ma do dyspozycji osoby legitymujące się kwalifikacjami zawodowymi, uprawnieniami, doświadczeniem i wykształceniem odpowiednimi do stanowi</w:t>
      </w:r>
      <w:r w:rsidR="00663437" w:rsidRPr="00A366AB">
        <w:rPr>
          <w:rFonts w:ascii="Tahoma" w:hAnsi="Tahoma" w:cs="Tahoma"/>
          <w:sz w:val="22"/>
          <w:szCs w:val="22"/>
        </w:rPr>
        <w:t>sk, jakie zostaną im powierzone:</w:t>
      </w:r>
    </w:p>
    <w:p w:rsidR="00A366AB" w:rsidRDefault="00B372EC" w:rsidP="003F1B93">
      <w:pPr>
        <w:pStyle w:val="Akapitzlist"/>
        <w:suppressAutoHyphens/>
        <w:ind w:left="284"/>
        <w:jc w:val="both"/>
        <w:rPr>
          <w:rFonts w:ascii="Tahoma" w:hAnsi="Tahoma" w:cs="Tahoma"/>
          <w:sz w:val="22"/>
          <w:szCs w:val="22"/>
        </w:rPr>
      </w:pPr>
      <w:r w:rsidRPr="00A366AB">
        <w:rPr>
          <w:rFonts w:ascii="Tahoma" w:hAnsi="Tahoma" w:cs="Tahoma"/>
          <w:sz w:val="22"/>
          <w:szCs w:val="22"/>
        </w:rPr>
        <w:t xml:space="preserve">  </w:t>
      </w:r>
    </w:p>
    <w:p w:rsidR="00A366AB" w:rsidRDefault="00A366AB" w:rsidP="00A366AB">
      <w:pPr>
        <w:ind w:firstLine="284"/>
        <w:jc w:val="both"/>
        <w:rPr>
          <w:rFonts w:ascii="Tahoma" w:hAnsi="Tahoma" w:cs="Tahoma"/>
          <w:sz w:val="22"/>
          <w:szCs w:val="22"/>
        </w:rPr>
      </w:pPr>
      <w:r w:rsidRPr="00A366AB">
        <w:rPr>
          <w:rFonts w:ascii="Tahoma" w:hAnsi="Tahoma" w:cs="Tahoma"/>
          <w:sz w:val="22"/>
          <w:szCs w:val="22"/>
        </w:rPr>
        <w:t xml:space="preserve">Kierownik budowy – 1 osoba </w:t>
      </w:r>
    </w:p>
    <w:p w:rsidR="00A366AB" w:rsidRDefault="00D47002" w:rsidP="00A366AB">
      <w:pPr>
        <w:ind w:firstLine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Brygadzista  – 1 osoba</w:t>
      </w:r>
      <w:r w:rsidR="00A366AB">
        <w:rPr>
          <w:rFonts w:ascii="Tahoma" w:hAnsi="Tahoma" w:cs="Tahoma"/>
          <w:sz w:val="22"/>
          <w:szCs w:val="22"/>
        </w:rPr>
        <w:t xml:space="preserve"> </w:t>
      </w:r>
    </w:p>
    <w:p w:rsidR="00A366AB" w:rsidRDefault="00A366AB" w:rsidP="008A214B">
      <w:pPr>
        <w:ind w:firstLine="284"/>
        <w:jc w:val="both"/>
        <w:rPr>
          <w:rFonts w:ascii="Tahoma" w:hAnsi="Tahoma" w:cs="Tahoma"/>
          <w:sz w:val="22"/>
          <w:szCs w:val="22"/>
        </w:rPr>
      </w:pPr>
      <w:r w:rsidRPr="00A366AB">
        <w:rPr>
          <w:rFonts w:ascii="Tahoma" w:hAnsi="Tahoma" w:cs="Tahoma"/>
          <w:sz w:val="22"/>
          <w:szCs w:val="22"/>
        </w:rPr>
        <w:t xml:space="preserve">Monter elektryk – </w:t>
      </w:r>
      <w:r w:rsidR="00D47002">
        <w:rPr>
          <w:rFonts w:ascii="Tahoma" w:hAnsi="Tahoma" w:cs="Tahoma"/>
          <w:sz w:val="22"/>
          <w:szCs w:val="22"/>
        </w:rPr>
        <w:t>1</w:t>
      </w:r>
      <w:r w:rsidRPr="00A366AB">
        <w:rPr>
          <w:rFonts w:ascii="Tahoma" w:hAnsi="Tahoma" w:cs="Tahoma"/>
          <w:sz w:val="22"/>
          <w:szCs w:val="22"/>
        </w:rPr>
        <w:t>0 osób</w:t>
      </w:r>
    </w:p>
    <w:p w:rsidR="00EC6F00" w:rsidRDefault="00EC6F00" w:rsidP="008A214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A366AB" w:rsidRDefault="00A366AB" w:rsidP="00A366AB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A366AB">
        <w:rPr>
          <w:rFonts w:ascii="Tahoma" w:hAnsi="Tahoma" w:cs="Tahoma"/>
          <w:sz w:val="22"/>
          <w:szCs w:val="22"/>
        </w:rPr>
        <w:t xml:space="preserve">Zamawiający wymaga zatrudnienia na podstawie umowy o pracę w rozumieniu przepisów ustawy z dnia 26 czerwca 1974 r. – Kodeks pracy (Dz. U. z 2014 r., poz. 1502 z </w:t>
      </w:r>
      <w:proofErr w:type="spellStart"/>
      <w:r w:rsidRPr="00A366AB">
        <w:rPr>
          <w:rFonts w:ascii="Tahoma" w:hAnsi="Tahoma" w:cs="Tahoma"/>
          <w:sz w:val="22"/>
          <w:szCs w:val="22"/>
        </w:rPr>
        <w:t>późn</w:t>
      </w:r>
      <w:proofErr w:type="spellEnd"/>
      <w:r w:rsidRPr="00A366AB">
        <w:rPr>
          <w:rFonts w:ascii="Tahoma" w:hAnsi="Tahoma" w:cs="Tahoma"/>
          <w:sz w:val="22"/>
          <w:szCs w:val="22"/>
        </w:rPr>
        <w:t>. zm.) przez Wykonawcę lub podwykonawcę osób wykonujących czynności na terenie budowy w trakcie realizacji zamówienia, z wyłączeniem osób wykonujących samodzielne funkcje w budownictwie w rozumieniu Ustawy z dnia 7 lipca 1994 r. Prawo budowlane (Dz. U. z 2016 r., poz. 290) tj. Kierownika Budowy.</w:t>
      </w:r>
    </w:p>
    <w:p w:rsidR="00A366AB" w:rsidRPr="00A366AB" w:rsidRDefault="00A366AB" w:rsidP="00A366AB">
      <w:pPr>
        <w:suppressAutoHyphens/>
        <w:jc w:val="both"/>
        <w:rPr>
          <w:rFonts w:ascii="Tahoma" w:hAnsi="Tahoma" w:cs="Tahoma"/>
          <w:sz w:val="22"/>
          <w:szCs w:val="22"/>
        </w:rPr>
      </w:pPr>
    </w:p>
    <w:p w:rsidR="00A366AB" w:rsidRPr="00A366AB" w:rsidRDefault="00A366AB" w:rsidP="0046658B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</w:rPr>
      </w:pPr>
      <w:r w:rsidRPr="00A366AB">
        <w:rPr>
          <w:rFonts w:ascii="Tahoma" w:hAnsi="Tahoma" w:cs="Tahoma"/>
          <w:sz w:val="22"/>
          <w:szCs w:val="22"/>
        </w:rPr>
        <w:t>Wykaz lokalizacji przejść dla pieszych</w:t>
      </w:r>
      <w:r w:rsidR="00E2081D">
        <w:rPr>
          <w:rFonts w:ascii="Tahoma" w:hAnsi="Tahoma" w:cs="Tahoma"/>
          <w:sz w:val="22"/>
          <w:szCs w:val="22"/>
        </w:rPr>
        <w:t xml:space="preserve"> </w:t>
      </w:r>
      <w:r w:rsidRPr="00A366AB">
        <w:rPr>
          <w:rFonts w:ascii="Tahoma" w:hAnsi="Tahoma" w:cs="Tahoma"/>
          <w:sz w:val="22"/>
          <w:szCs w:val="22"/>
        </w:rPr>
        <w:t xml:space="preserve">może być zmieniony w trakcie realizacji zadania w zakresie zwiększenia wykazu o nowe lokalizacje przy czym maksymalna ilość przejść dla pieszych nie przekroczy 300 przejść. Zgłoszenie dodatkowych </w:t>
      </w:r>
      <w:r w:rsidR="008C3871">
        <w:rPr>
          <w:rFonts w:ascii="Tahoma" w:hAnsi="Tahoma" w:cs="Tahoma"/>
          <w:sz w:val="22"/>
          <w:szCs w:val="22"/>
        </w:rPr>
        <w:t>lokalizacji</w:t>
      </w:r>
      <w:r w:rsidRPr="00A366AB">
        <w:rPr>
          <w:rFonts w:ascii="Tahoma" w:hAnsi="Tahoma" w:cs="Tahoma"/>
          <w:sz w:val="22"/>
          <w:szCs w:val="22"/>
        </w:rPr>
        <w:t xml:space="preserve"> może dokonać Zamawiający oraz W</w:t>
      </w:r>
      <w:r w:rsidR="008C3871">
        <w:rPr>
          <w:rFonts w:ascii="Tahoma" w:hAnsi="Tahoma" w:cs="Tahoma"/>
          <w:sz w:val="22"/>
          <w:szCs w:val="22"/>
        </w:rPr>
        <w:t>ykonawca. Każdorazowo zgodę na wykonanie robót w nowej lokalizacji Wykonawca musi uzyskać pisemną zgodę Zamawiającego.</w:t>
      </w:r>
    </w:p>
    <w:sectPr w:rsidR="00A366AB" w:rsidRPr="00A366AB" w:rsidSect="00E2081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3B7"/>
    <w:multiLevelType w:val="hybridMultilevel"/>
    <w:tmpl w:val="C99A9AF2"/>
    <w:lvl w:ilvl="0" w:tplc="4CD4E3C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EF0442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31FB32E5"/>
    <w:multiLevelType w:val="hybridMultilevel"/>
    <w:tmpl w:val="2FFA163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C93699"/>
    <w:multiLevelType w:val="hybridMultilevel"/>
    <w:tmpl w:val="A09E33EA"/>
    <w:lvl w:ilvl="0" w:tplc="F1DAD65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F6D72DA"/>
    <w:multiLevelType w:val="hybridMultilevel"/>
    <w:tmpl w:val="32B47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BE"/>
    <w:rsid w:val="00056FDC"/>
    <w:rsid w:val="00072CFA"/>
    <w:rsid w:val="00096195"/>
    <w:rsid w:val="000B730F"/>
    <w:rsid w:val="000F164B"/>
    <w:rsid w:val="00133A3D"/>
    <w:rsid w:val="001C2F85"/>
    <w:rsid w:val="002A20CF"/>
    <w:rsid w:val="00304119"/>
    <w:rsid w:val="00337CD3"/>
    <w:rsid w:val="0035435C"/>
    <w:rsid w:val="003A2328"/>
    <w:rsid w:val="003F1B93"/>
    <w:rsid w:val="004135AA"/>
    <w:rsid w:val="004268B8"/>
    <w:rsid w:val="00436BBE"/>
    <w:rsid w:val="00456AC0"/>
    <w:rsid w:val="0046400C"/>
    <w:rsid w:val="004D3F45"/>
    <w:rsid w:val="00505916"/>
    <w:rsid w:val="00572860"/>
    <w:rsid w:val="005A61B0"/>
    <w:rsid w:val="005D7234"/>
    <w:rsid w:val="005E3C00"/>
    <w:rsid w:val="00612DD4"/>
    <w:rsid w:val="00631428"/>
    <w:rsid w:val="00663437"/>
    <w:rsid w:val="00687CAF"/>
    <w:rsid w:val="006F472A"/>
    <w:rsid w:val="007F0A02"/>
    <w:rsid w:val="0088747E"/>
    <w:rsid w:val="008879C9"/>
    <w:rsid w:val="008A214B"/>
    <w:rsid w:val="008C3871"/>
    <w:rsid w:val="009E043B"/>
    <w:rsid w:val="00A366AB"/>
    <w:rsid w:val="00A36AEC"/>
    <w:rsid w:val="00A654B7"/>
    <w:rsid w:val="00B372EC"/>
    <w:rsid w:val="00BC30D6"/>
    <w:rsid w:val="00BE0330"/>
    <w:rsid w:val="00C12349"/>
    <w:rsid w:val="00C15FB5"/>
    <w:rsid w:val="00CB7FE5"/>
    <w:rsid w:val="00CD4226"/>
    <w:rsid w:val="00D47002"/>
    <w:rsid w:val="00DE0E62"/>
    <w:rsid w:val="00DF6FF4"/>
    <w:rsid w:val="00E2081D"/>
    <w:rsid w:val="00E464AE"/>
    <w:rsid w:val="00EB26D3"/>
    <w:rsid w:val="00EC42E3"/>
    <w:rsid w:val="00EC6F00"/>
    <w:rsid w:val="00EF04D2"/>
    <w:rsid w:val="00F651C6"/>
    <w:rsid w:val="00F80012"/>
    <w:rsid w:val="00F86687"/>
    <w:rsid w:val="00FE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0E10E-53A5-4636-B698-D98DCE83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4AE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6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FD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04119"/>
    <w:pPr>
      <w:overflowPunct w:val="0"/>
      <w:autoSpaceDE w:val="0"/>
      <w:autoSpaceDN w:val="0"/>
      <w:adjustRightInd w:val="0"/>
      <w:spacing w:line="360" w:lineRule="atLeast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41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3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Sasor</dc:creator>
  <cp:lastModifiedBy>Paweł Sztajerwald</cp:lastModifiedBy>
  <cp:revision>45</cp:revision>
  <cp:lastPrinted>2017-03-06T06:23:00Z</cp:lastPrinted>
  <dcterms:created xsi:type="dcterms:W3CDTF">2016-11-16T11:41:00Z</dcterms:created>
  <dcterms:modified xsi:type="dcterms:W3CDTF">2017-03-06T08:07:00Z</dcterms:modified>
</cp:coreProperties>
</file>