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AE" w:rsidRPr="00035955" w:rsidRDefault="00E464AE" w:rsidP="0003595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35955">
        <w:rPr>
          <w:rFonts w:ascii="Tahoma" w:hAnsi="Tahoma" w:cs="Tahoma"/>
          <w:b/>
          <w:sz w:val="22"/>
          <w:szCs w:val="22"/>
        </w:rPr>
        <w:t xml:space="preserve">                                            </w:t>
      </w:r>
      <w:r w:rsidR="00BE0330" w:rsidRPr="00035955">
        <w:rPr>
          <w:rFonts w:ascii="Tahoma" w:hAnsi="Tahoma" w:cs="Tahoma"/>
          <w:b/>
          <w:sz w:val="22"/>
          <w:szCs w:val="22"/>
        </w:rPr>
        <w:t xml:space="preserve">  </w:t>
      </w:r>
      <w:r w:rsidRPr="00035955">
        <w:rPr>
          <w:rFonts w:ascii="Tahoma" w:hAnsi="Tahoma" w:cs="Tahoma"/>
          <w:b/>
          <w:sz w:val="22"/>
          <w:szCs w:val="22"/>
        </w:rPr>
        <w:t>OPIS PRZEDMIOTU ZAMÓWIENIA</w:t>
      </w:r>
      <w:r w:rsidRPr="00035955">
        <w:rPr>
          <w:rFonts w:ascii="Tahoma" w:hAnsi="Tahoma" w:cs="Tahoma"/>
          <w:b/>
          <w:sz w:val="22"/>
          <w:szCs w:val="22"/>
        </w:rPr>
        <w:tab/>
      </w:r>
    </w:p>
    <w:p w:rsidR="00E2081D" w:rsidRPr="00035955" w:rsidRDefault="00E2081D" w:rsidP="0003595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04119" w:rsidRPr="00035955" w:rsidRDefault="00E464AE" w:rsidP="00035955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Przedmiotem zamówienia</w:t>
      </w:r>
      <w:r w:rsidR="00F86687" w:rsidRPr="00035955">
        <w:rPr>
          <w:rFonts w:ascii="Tahoma" w:hAnsi="Tahoma" w:cs="Tahoma"/>
          <w:sz w:val="22"/>
          <w:szCs w:val="22"/>
        </w:rPr>
        <w:t xml:space="preserve"> są </w:t>
      </w:r>
      <w:r w:rsidR="00F86687" w:rsidRPr="00035955">
        <w:rPr>
          <w:rFonts w:ascii="Tahoma" w:hAnsi="Tahoma" w:cs="Tahoma"/>
          <w:b/>
          <w:bCs/>
          <w:sz w:val="22"/>
          <w:szCs w:val="22"/>
        </w:rPr>
        <w:t>„Roboty w zakresie doświetlenia przejść dla pieszych polegające na wymianie istniejącej infrastruktury oświetleniowej”.</w:t>
      </w:r>
      <w:r w:rsidR="00F86687" w:rsidRPr="00035955">
        <w:rPr>
          <w:rFonts w:ascii="Tahoma" w:hAnsi="Tahoma" w:cs="Tahoma"/>
          <w:sz w:val="22"/>
          <w:szCs w:val="22"/>
        </w:rPr>
        <w:t>”</w:t>
      </w:r>
    </w:p>
    <w:p w:rsidR="00E464AE" w:rsidRPr="00035955" w:rsidRDefault="00E464AE" w:rsidP="0003595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304119" w:rsidRPr="00035955" w:rsidRDefault="00304119" w:rsidP="00035955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 xml:space="preserve">Określenie przedmiotu zamówienia: </w:t>
      </w:r>
    </w:p>
    <w:p w:rsidR="00304119" w:rsidRPr="00035955" w:rsidRDefault="00304119" w:rsidP="00035955">
      <w:p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Doświetlenie przejść należy wykonać po prze</w:t>
      </w:r>
      <w:r w:rsidR="00F86687" w:rsidRPr="00035955">
        <w:rPr>
          <w:rFonts w:ascii="Tahoma" w:hAnsi="Tahoma" w:cs="Tahoma"/>
          <w:sz w:val="22"/>
          <w:szCs w:val="22"/>
        </w:rPr>
        <w:t>z wymianę istniejących wyeksploatowanych słupów</w:t>
      </w:r>
      <w:r w:rsidR="00F04319">
        <w:rPr>
          <w:rFonts w:ascii="Tahoma" w:hAnsi="Tahoma" w:cs="Tahoma"/>
          <w:sz w:val="22"/>
          <w:szCs w:val="22"/>
        </w:rPr>
        <w:t>, wysięgników</w:t>
      </w:r>
      <w:r w:rsidR="00F86687" w:rsidRPr="00035955">
        <w:rPr>
          <w:rFonts w:ascii="Tahoma" w:hAnsi="Tahoma" w:cs="Tahoma"/>
          <w:sz w:val="22"/>
          <w:szCs w:val="22"/>
        </w:rPr>
        <w:t xml:space="preserve"> i opraw oświetleniowych na nowe słupy</w:t>
      </w:r>
      <w:r w:rsidR="00F04319">
        <w:rPr>
          <w:rFonts w:ascii="Tahoma" w:hAnsi="Tahoma" w:cs="Tahoma"/>
          <w:sz w:val="22"/>
          <w:szCs w:val="22"/>
        </w:rPr>
        <w:t>, wysiegniki</w:t>
      </w:r>
      <w:r w:rsidR="00F86687" w:rsidRPr="00035955">
        <w:rPr>
          <w:rFonts w:ascii="Tahoma" w:hAnsi="Tahoma" w:cs="Tahoma"/>
          <w:sz w:val="22"/>
          <w:szCs w:val="22"/>
        </w:rPr>
        <w:t xml:space="preserve"> i oprawy oświetleniowe typu LED. </w:t>
      </w:r>
      <w:r w:rsidR="00F651C6" w:rsidRPr="00035955">
        <w:rPr>
          <w:rFonts w:ascii="Tahoma" w:hAnsi="Tahoma" w:cs="Tahoma"/>
          <w:sz w:val="22"/>
          <w:szCs w:val="22"/>
        </w:rPr>
        <w:t xml:space="preserve"> </w:t>
      </w:r>
    </w:p>
    <w:p w:rsidR="00F651C6" w:rsidRPr="00035955" w:rsidRDefault="00F651C6" w:rsidP="00035955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04119" w:rsidRPr="00035955" w:rsidRDefault="00304119" w:rsidP="00035955">
      <w:pPr>
        <w:pStyle w:val="Akapitzlist"/>
        <w:numPr>
          <w:ilvl w:val="0"/>
          <w:numId w:val="2"/>
        </w:numPr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Zakres robót budowlanych:</w:t>
      </w:r>
    </w:p>
    <w:p w:rsidR="00B372EC" w:rsidRPr="00035955" w:rsidRDefault="00B372EC" w:rsidP="00035955">
      <w:pPr>
        <w:pStyle w:val="Akapitzlist"/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04119" w:rsidRPr="00035955" w:rsidRDefault="00304119" w:rsidP="00035955">
      <w:pPr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 xml:space="preserve">Roboty będą polegały na: </w:t>
      </w:r>
      <w:r w:rsidR="00F86687" w:rsidRPr="00035955">
        <w:rPr>
          <w:rFonts w:ascii="Tahoma" w:hAnsi="Tahoma" w:cs="Tahoma"/>
          <w:sz w:val="22"/>
          <w:szCs w:val="22"/>
        </w:rPr>
        <w:t xml:space="preserve">demontażu istniejących </w:t>
      </w:r>
      <w:r w:rsidR="0035435C" w:rsidRPr="00035955">
        <w:rPr>
          <w:rFonts w:ascii="Tahoma" w:hAnsi="Tahoma" w:cs="Tahoma"/>
          <w:sz w:val="22"/>
          <w:szCs w:val="22"/>
        </w:rPr>
        <w:t>słupów, wysięgników i opraw oświetleniowych oraz zamontowaniu nowych słupów aluminiowych z wysięgnikami dwuramiennymi</w:t>
      </w:r>
      <w:r w:rsidR="00F04319">
        <w:rPr>
          <w:rFonts w:ascii="Tahoma" w:hAnsi="Tahoma" w:cs="Tahoma"/>
          <w:sz w:val="22"/>
          <w:szCs w:val="22"/>
        </w:rPr>
        <w:t>, nowych wysięgników dwuramiennych</w:t>
      </w:r>
      <w:r w:rsidR="0035435C" w:rsidRPr="00035955">
        <w:rPr>
          <w:rFonts w:ascii="Tahoma" w:hAnsi="Tahoma" w:cs="Tahoma"/>
          <w:sz w:val="22"/>
          <w:szCs w:val="22"/>
        </w:rPr>
        <w:t xml:space="preserve"> oraz nowych</w:t>
      </w:r>
      <w:r w:rsidR="00DF6FF4" w:rsidRPr="00035955">
        <w:rPr>
          <w:rFonts w:ascii="Tahoma" w:hAnsi="Tahoma" w:cs="Tahoma"/>
          <w:sz w:val="22"/>
          <w:szCs w:val="22"/>
        </w:rPr>
        <w:t xml:space="preserve"> opraw oświetleniowych typu LED w lokalizacjach wskazanych w załączniku do przedmiotowego postępowania.</w:t>
      </w:r>
    </w:p>
    <w:p w:rsidR="00B372EC" w:rsidRPr="00035955" w:rsidRDefault="00B372EC" w:rsidP="00035955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372EC" w:rsidRPr="00035955" w:rsidRDefault="00B372EC" w:rsidP="00035955">
      <w:pPr>
        <w:pStyle w:val="Akapitzlist"/>
        <w:numPr>
          <w:ilvl w:val="0"/>
          <w:numId w:val="2"/>
        </w:numPr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 xml:space="preserve">Roboty budowlane należy prowadzić zgodnie z </w:t>
      </w:r>
      <w:r w:rsidR="0035435C" w:rsidRPr="00035955">
        <w:rPr>
          <w:rFonts w:ascii="Tahoma" w:hAnsi="Tahoma" w:cs="Tahoma"/>
          <w:sz w:val="22"/>
          <w:szCs w:val="22"/>
        </w:rPr>
        <w:t xml:space="preserve">przedmiarem robót </w:t>
      </w:r>
      <w:r w:rsidRPr="00035955">
        <w:rPr>
          <w:rFonts w:ascii="Tahoma" w:hAnsi="Tahoma" w:cs="Tahoma"/>
          <w:sz w:val="22"/>
          <w:szCs w:val="22"/>
        </w:rPr>
        <w:t xml:space="preserve">oraz zapisami umowy. </w:t>
      </w:r>
    </w:p>
    <w:p w:rsidR="00DF6FF4" w:rsidRPr="00035955" w:rsidRDefault="00DF6FF4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35435C" w:rsidRPr="00035955" w:rsidRDefault="0035435C" w:rsidP="00035955">
      <w:pPr>
        <w:pStyle w:val="Akapitzlist"/>
        <w:numPr>
          <w:ilvl w:val="0"/>
          <w:numId w:val="2"/>
        </w:numPr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 xml:space="preserve">Opis parametrów </w:t>
      </w:r>
      <w:r w:rsidR="00035955" w:rsidRPr="00035955">
        <w:rPr>
          <w:rFonts w:ascii="Tahoma" w:hAnsi="Tahoma" w:cs="Tahoma"/>
          <w:sz w:val="22"/>
          <w:szCs w:val="22"/>
        </w:rPr>
        <w:t>urządzeń</w:t>
      </w:r>
      <w:r w:rsidR="00DF6FF4" w:rsidRPr="00035955">
        <w:rPr>
          <w:rFonts w:ascii="Tahoma" w:hAnsi="Tahoma" w:cs="Tahoma"/>
          <w:sz w:val="22"/>
          <w:szCs w:val="22"/>
        </w:rPr>
        <w:t xml:space="preserve"> oświetleniowych:</w:t>
      </w:r>
    </w:p>
    <w:p w:rsidR="00035955" w:rsidRPr="00035955" w:rsidRDefault="00035955" w:rsidP="00035955">
      <w:pPr>
        <w:pStyle w:val="Akapitzlist"/>
        <w:spacing w:line="276" w:lineRule="auto"/>
        <w:rPr>
          <w:rFonts w:ascii="Tahoma" w:hAnsi="Tahoma" w:cs="Tahoma"/>
          <w:sz w:val="22"/>
          <w:szCs w:val="22"/>
        </w:rPr>
      </w:pPr>
    </w:p>
    <w:p w:rsidR="00DF6FF4" w:rsidRPr="00035955" w:rsidRDefault="00035955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Oprawy oświetleniowe: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Budowa oprawy – dwukomorowa z termicznym oddzieleniem komory osprzętu elektrycznego od komory optycznej.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 xml:space="preserve">Stopień ochrony przed wnikaniem pyłu i wody dla komory optycznej – IP66 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Stopień ochrony przed wnikaniem pyłu i wody dla komory elektrycznej – IP66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Materiał korpusu – ciśnieniowy odlew aluminium, malowany proszkowo.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Materiał klosza (jeżeli występuje) – szkło hartowane płaskie.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Stopień ochrony na uderzenia (korpus i klosz) – min. IK08 (w miejscach zagrożonych wandalizmem min. IK10)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Oprawa powinna być wyposażona w uniwersalny uchwyt pozwalający na montaż zarówno na wysięgniku jak i bezpośrednio na słupie o średnicy wewnętrznej 60-72mm, z możliwością pochylenia od 0° do min. 10°.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Wszystkie elementy mocujące oprawę na słupie lub wysięgniku (śruby, podkładki) powinny być wykonane ze stali nierdzewnej i gwarantować stabilny montaż.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Oprawa powinna być wyposażona w zawór pozwalający „oddychać”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 xml:space="preserve">Temperatura barwowa źródeł światła w panelu LED </w:t>
      </w:r>
      <w:r w:rsidR="00CD34E1">
        <w:rPr>
          <w:rFonts w:ascii="Tahoma" w:hAnsi="Tahoma" w:cs="Tahoma"/>
          <w:sz w:val="22"/>
          <w:szCs w:val="22"/>
        </w:rPr>
        <w:t>4000</w:t>
      </w:r>
      <w:r w:rsidRPr="00035955">
        <w:rPr>
          <w:rFonts w:ascii="Tahoma" w:hAnsi="Tahoma" w:cs="Tahoma"/>
          <w:sz w:val="22"/>
          <w:szCs w:val="22"/>
        </w:rPr>
        <w:t>-</w:t>
      </w:r>
      <w:r w:rsidR="00CD34E1">
        <w:rPr>
          <w:rFonts w:ascii="Tahoma" w:hAnsi="Tahoma" w:cs="Tahoma"/>
          <w:sz w:val="22"/>
          <w:szCs w:val="22"/>
        </w:rPr>
        <w:t>5700K.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Wskaźnik oddawania barw źródeł światła w panelu LED Ra ≥ 70</w:t>
      </w:r>
    </w:p>
    <w:p w:rsidR="00035955" w:rsidRPr="00035955" w:rsidRDefault="00035955" w:rsidP="00035955">
      <w:pPr>
        <w:pStyle w:val="Bezformatowania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color w:val="auto"/>
          <w:kern w:val="0"/>
          <w:lang w:eastAsia="pl-PL" w:bidi="ar-SA"/>
        </w:rPr>
      </w:pPr>
      <w:r w:rsidRPr="00035955">
        <w:rPr>
          <w:rFonts w:ascii="Tahoma" w:eastAsia="Times New Roman" w:hAnsi="Tahoma" w:cs="Tahoma"/>
          <w:color w:val="auto"/>
          <w:kern w:val="0"/>
          <w:lang w:eastAsia="pl-PL" w:bidi="ar-SA"/>
        </w:rPr>
        <w:t xml:space="preserve">Oprawa powinna być wyposażona w grupę soczewek kształtujących rozsył światła </w:t>
      </w:r>
      <w:r w:rsidRPr="00035955">
        <w:rPr>
          <w:rFonts w:ascii="Tahoma" w:eastAsia="Times New Roman" w:hAnsi="Tahoma" w:cs="Tahoma"/>
          <w:color w:val="auto"/>
          <w:kern w:val="0"/>
          <w:lang w:eastAsia="pl-PL" w:bidi="ar-SA"/>
        </w:rPr>
        <w:br/>
        <w:t>o charakterze drogowym, każda dioda na panelu LED powinna posiadać indywidualny element optyczny o takiej samej charakterystyce.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 xml:space="preserve">Konstrukcja oprawy powinna umożliwiać wymianę układu zasilającego oraz optycznego bez konieczności zdejmowania oprawy ze słupa. 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Znamionowe napięcie pracy – 230V/50Hz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Ochrona przed przepięciami oprawy – 10kV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Współczynnik mocy &gt; 0,9</w:t>
      </w:r>
    </w:p>
    <w:p w:rsidR="00035955" w:rsidRPr="00035955" w:rsidRDefault="00035955" w:rsidP="00035955">
      <w:pPr>
        <w:pStyle w:val="Bezodstpw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035955">
        <w:rPr>
          <w:rFonts w:ascii="Tahoma" w:hAnsi="Tahoma" w:cs="Tahoma"/>
        </w:rPr>
        <w:lastRenderedPageBreak/>
        <w:t>Zakres temperatur pracy oprawy: -35</w:t>
      </w:r>
      <w:r w:rsidRPr="00035955">
        <w:rPr>
          <w:rFonts w:ascii="Tahoma" w:hAnsi="Tahoma" w:cs="Tahoma"/>
          <w:vertAlign w:val="superscript"/>
        </w:rPr>
        <w:t>°</w:t>
      </w:r>
      <w:r w:rsidRPr="00035955">
        <w:rPr>
          <w:rFonts w:ascii="Tahoma" w:hAnsi="Tahoma" w:cs="Tahoma"/>
        </w:rPr>
        <w:t>C ≤ To ≤ +35</w:t>
      </w:r>
      <w:r w:rsidRPr="00035955">
        <w:rPr>
          <w:rFonts w:ascii="Tahoma" w:hAnsi="Tahoma" w:cs="Tahoma"/>
          <w:vertAlign w:val="superscript"/>
        </w:rPr>
        <w:t>°</w:t>
      </w:r>
      <w:r w:rsidRPr="00035955">
        <w:rPr>
          <w:rFonts w:ascii="Tahoma" w:hAnsi="Tahoma" w:cs="Tahoma"/>
        </w:rPr>
        <w:t>C</w:t>
      </w:r>
    </w:p>
    <w:p w:rsidR="00035955" w:rsidRPr="00035955" w:rsidRDefault="00035955" w:rsidP="00035955">
      <w:pPr>
        <w:pStyle w:val="Bezformatowania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color w:val="auto"/>
          <w:kern w:val="0"/>
          <w:lang w:eastAsia="pl-PL" w:bidi="ar-SA"/>
        </w:rPr>
      </w:pPr>
      <w:r w:rsidRPr="00035955">
        <w:rPr>
          <w:rFonts w:ascii="Tahoma" w:eastAsia="Times New Roman" w:hAnsi="Tahoma" w:cs="Tahoma"/>
          <w:color w:val="auto"/>
          <w:kern w:val="0"/>
          <w:lang w:eastAsia="pl-PL" w:bidi="ar-SA"/>
        </w:rPr>
        <w:t>Zakłócenia sieci elektrycznej THD &lt; 20%;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Klasa ochronności elektrycznej: I lub II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Oprawa może być wyposażona w rozłącznik odłączający napięcie po jej otwarciu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Sprawność świetlna oprawy wraz zasilaczem – min. 100lm/W.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Oprawa nie może kierować światła w górę.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Oprawa powinna zapewniać utrzymanie strumienia świetlnego w czasie na poziomie 80% po 100 000h.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Oprawa oświetleniowa musi być oznakowana znakiem CE oraz posiadać stosowne deklaracje.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 xml:space="preserve">Oprawa powinna posiadać deklarację zgodności WE oraz certyfikat akredytowanego ośrodka badawczego na znak ENEC. 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 xml:space="preserve">Wartości wskaźnika udziału światła wysyłanego ku górze (ULOR) powinny być zgodne </w:t>
      </w:r>
      <w:r w:rsidRPr="00035955">
        <w:rPr>
          <w:rFonts w:ascii="Tahoma" w:hAnsi="Tahoma" w:cs="Tahoma"/>
          <w:sz w:val="22"/>
          <w:szCs w:val="22"/>
        </w:rPr>
        <w:br/>
        <w:t>z Rozporządzeniem WE nr 245/2009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Oprawa powinna spełniać standardy dyrektywy niskonapięciowej (LVD) nr 2006/95/WE, dyrektywy kompatybilności elektromagnetycznej (EMC) nr 2004/108/WE oraz dyrektywy (</w:t>
      </w:r>
      <w:proofErr w:type="spellStart"/>
      <w:r w:rsidRPr="00035955">
        <w:rPr>
          <w:rFonts w:ascii="Tahoma" w:hAnsi="Tahoma" w:cs="Tahoma"/>
          <w:sz w:val="22"/>
          <w:szCs w:val="22"/>
        </w:rPr>
        <w:t>RoHS</w:t>
      </w:r>
      <w:proofErr w:type="spellEnd"/>
      <w:r w:rsidRPr="00035955">
        <w:rPr>
          <w:rFonts w:ascii="Tahoma" w:hAnsi="Tahoma" w:cs="Tahoma"/>
          <w:sz w:val="22"/>
          <w:szCs w:val="22"/>
        </w:rPr>
        <w:t>) nr 2002/95/WE.</w:t>
      </w:r>
    </w:p>
    <w:p w:rsidR="00035955" w:rsidRP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Dane fotometryczne oprawy muszą być dostępne na stronie internetowej producenta.</w:t>
      </w:r>
    </w:p>
    <w:p w:rsidR="00035955" w:rsidRDefault="00035955" w:rsidP="0003595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Gwarancja producenta na oprawę i zasilacz – min. 5 lat</w:t>
      </w:r>
    </w:p>
    <w:p w:rsidR="00E4606F" w:rsidRPr="00035955" w:rsidRDefault="00E4606F" w:rsidP="00E4606F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9E043B" w:rsidRPr="00035955" w:rsidRDefault="009E043B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4606F" w:rsidRPr="00035955" w:rsidRDefault="00E4606F" w:rsidP="00E4606F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 xml:space="preserve">Przy zastosowaniu opraw typu LED zawieszonych na wysokości </w:t>
      </w:r>
      <w:r>
        <w:rPr>
          <w:rFonts w:ascii="Tahoma" w:hAnsi="Tahoma" w:cs="Tahoma"/>
          <w:sz w:val="22"/>
          <w:szCs w:val="22"/>
        </w:rPr>
        <w:t>8</w:t>
      </w:r>
      <w:r w:rsidRPr="00035955">
        <w:rPr>
          <w:rFonts w:ascii="Tahoma" w:hAnsi="Tahoma" w:cs="Tahoma"/>
          <w:sz w:val="22"/>
          <w:szCs w:val="22"/>
        </w:rPr>
        <w:t>m parametry obliczeń oświetleniowych (powierzchnia obliczeniowa pozioma przejścia dla pieszych</w:t>
      </w:r>
      <w:r>
        <w:rPr>
          <w:rFonts w:ascii="Tahoma" w:hAnsi="Tahoma" w:cs="Tahoma"/>
          <w:sz w:val="22"/>
          <w:szCs w:val="22"/>
        </w:rPr>
        <w:t xml:space="preserve"> 40</w:t>
      </w:r>
      <w:r w:rsidRPr="00035955">
        <w:rPr>
          <w:rFonts w:ascii="Tahoma" w:hAnsi="Tahoma" w:cs="Tahoma"/>
          <w:sz w:val="22"/>
          <w:szCs w:val="22"/>
        </w:rPr>
        <w:t xml:space="preserve"> m</w:t>
      </w:r>
      <w:r w:rsidRPr="00035955">
        <w:rPr>
          <w:rFonts w:ascii="Tahoma" w:hAnsi="Tahoma" w:cs="Tahoma"/>
          <w:sz w:val="22"/>
          <w:szCs w:val="22"/>
          <w:vertAlign w:val="superscript"/>
        </w:rPr>
        <w:t>2</w:t>
      </w:r>
      <w:r w:rsidRPr="00035955">
        <w:rPr>
          <w:rFonts w:ascii="Tahoma" w:hAnsi="Tahoma" w:cs="Tahoma"/>
          <w:sz w:val="22"/>
          <w:szCs w:val="22"/>
        </w:rPr>
        <w:t>) nie mogą być mniejsze niż:</w:t>
      </w:r>
    </w:p>
    <w:p w:rsidR="00E4606F" w:rsidRDefault="00E4606F" w:rsidP="00E4606F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 xml:space="preserve"> = </w:t>
      </w:r>
      <w:r>
        <w:rPr>
          <w:rFonts w:ascii="Tahoma" w:hAnsi="Tahoma" w:cs="Tahoma"/>
          <w:sz w:val="22"/>
          <w:szCs w:val="22"/>
          <w:lang w:val="en-US"/>
        </w:rPr>
        <w:t>60</w:t>
      </w:r>
      <w:r w:rsidRPr="00035955">
        <w:rPr>
          <w:rFonts w:ascii="Tahoma" w:hAnsi="Tahoma" w:cs="Tahoma"/>
          <w:sz w:val="22"/>
          <w:szCs w:val="22"/>
          <w:lang w:val="en-US"/>
        </w:rPr>
        <w:t xml:space="preserve"> lx, </w:t>
      </w: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Emin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 xml:space="preserve"> = </w:t>
      </w:r>
      <w:r>
        <w:rPr>
          <w:rFonts w:ascii="Tahoma" w:hAnsi="Tahoma" w:cs="Tahoma"/>
          <w:sz w:val="22"/>
          <w:szCs w:val="22"/>
          <w:lang w:val="en-US"/>
        </w:rPr>
        <w:t>29</w:t>
      </w:r>
      <w:r w:rsidRPr="00035955">
        <w:rPr>
          <w:rFonts w:ascii="Tahoma" w:hAnsi="Tahoma" w:cs="Tahoma"/>
          <w:sz w:val="22"/>
          <w:szCs w:val="22"/>
          <w:lang w:val="en-US"/>
        </w:rPr>
        <w:t xml:space="preserve"> lx, </w:t>
      </w: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Emax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 xml:space="preserve"> = </w:t>
      </w:r>
      <w:r>
        <w:rPr>
          <w:rFonts w:ascii="Tahoma" w:hAnsi="Tahoma" w:cs="Tahoma"/>
          <w:sz w:val="22"/>
          <w:szCs w:val="22"/>
          <w:lang w:val="en-US"/>
        </w:rPr>
        <w:t>71</w:t>
      </w:r>
      <w:r w:rsidRPr="00035955">
        <w:rPr>
          <w:rFonts w:ascii="Tahoma" w:hAnsi="Tahoma" w:cs="Tahoma"/>
          <w:sz w:val="22"/>
          <w:szCs w:val="22"/>
          <w:lang w:val="en-US"/>
        </w:rPr>
        <w:t xml:space="preserve"> lx, </w:t>
      </w: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Emin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 xml:space="preserve">/ </w:t>
      </w: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 xml:space="preserve"> = 0,</w:t>
      </w:r>
      <w:r>
        <w:rPr>
          <w:rFonts w:ascii="Tahoma" w:hAnsi="Tahoma" w:cs="Tahoma"/>
          <w:sz w:val="22"/>
          <w:szCs w:val="22"/>
          <w:lang w:val="en-US"/>
        </w:rPr>
        <w:t>481</w:t>
      </w:r>
      <w:r w:rsidRPr="00035955"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Emin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>/</w:t>
      </w: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Emax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 xml:space="preserve"> = 0,</w:t>
      </w:r>
      <w:r>
        <w:rPr>
          <w:rFonts w:ascii="Tahoma" w:hAnsi="Tahoma" w:cs="Tahoma"/>
          <w:sz w:val="22"/>
          <w:szCs w:val="22"/>
          <w:lang w:val="en-US"/>
        </w:rPr>
        <w:t>405</w:t>
      </w:r>
      <w:r w:rsidRPr="00035955">
        <w:rPr>
          <w:rFonts w:ascii="Tahoma" w:hAnsi="Tahoma" w:cs="Tahoma"/>
          <w:sz w:val="22"/>
          <w:szCs w:val="22"/>
          <w:lang w:val="en-US"/>
        </w:rPr>
        <w:t>.</w:t>
      </w:r>
    </w:p>
    <w:p w:rsidR="00640C73" w:rsidRDefault="00640C73" w:rsidP="00E4606F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val="en-US"/>
        </w:rPr>
      </w:pPr>
    </w:p>
    <w:p w:rsidR="00CD34E1" w:rsidRDefault="00CD34E1" w:rsidP="00CD34E1">
      <w:pPr>
        <w:pStyle w:val="Akapitzlist"/>
        <w:suppressAutoHyphens/>
        <w:spacing w:line="276" w:lineRule="auto"/>
        <w:ind w:left="284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4800600" cy="3600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444A6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2" t="23564" r="37513" b="28547"/>
                    <a:stretch/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C73" w:rsidRPr="00035955" w:rsidRDefault="00640C73" w:rsidP="00CD34E1">
      <w:pPr>
        <w:pStyle w:val="Akapitzlist"/>
        <w:suppressAutoHyphens/>
        <w:spacing w:line="276" w:lineRule="auto"/>
        <w:ind w:left="284"/>
        <w:jc w:val="center"/>
        <w:rPr>
          <w:rFonts w:ascii="Tahoma" w:hAnsi="Tahoma" w:cs="Tahoma"/>
          <w:sz w:val="22"/>
          <w:szCs w:val="22"/>
          <w:lang w:val="en-US"/>
        </w:rPr>
      </w:pPr>
    </w:p>
    <w:p w:rsidR="00EC42E3" w:rsidRPr="00035955" w:rsidRDefault="00EC42E3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lastRenderedPageBreak/>
        <w:t xml:space="preserve">Przy zastosowaniu opraw typu LED zawieszonych na wysokości 10m </w:t>
      </w:r>
      <w:r w:rsidR="001C2F85" w:rsidRPr="00035955">
        <w:rPr>
          <w:rFonts w:ascii="Tahoma" w:hAnsi="Tahoma" w:cs="Tahoma"/>
          <w:sz w:val="22"/>
          <w:szCs w:val="22"/>
        </w:rPr>
        <w:t xml:space="preserve">parametry obliczeń oświetleniowych </w:t>
      </w:r>
      <w:r w:rsidRPr="00035955">
        <w:rPr>
          <w:rFonts w:ascii="Tahoma" w:hAnsi="Tahoma" w:cs="Tahoma"/>
          <w:sz w:val="22"/>
          <w:szCs w:val="22"/>
        </w:rPr>
        <w:t>(powierzchnia obliczeniowa pozioma przejścia dla pieszych</w:t>
      </w:r>
      <w:r w:rsidR="00E4606F">
        <w:rPr>
          <w:rFonts w:ascii="Tahoma" w:hAnsi="Tahoma" w:cs="Tahoma"/>
          <w:sz w:val="22"/>
          <w:szCs w:val="22"/>
        </w:rPr>
        <w:t xml:space="preserve"> 40</w:t>
      </w:r>
      <w:r w:rsidR="00687CAF" w:rsidRPr="00035955">
        <w:rPr>
          <w:rFonts w:ascii="Tahoma" w:hAnsi="Tahoma" w:cs="Tahoma"/>
          <w:sz w:val="22"/>
          <w:szCs w:val="22"/>
        </w:rPr>
        <w:t xml:space="preserve"> m</w:t>
      </w:r>
      <w:r w:rsidR="00687CAF" w:rsidRPr="00035955">
        <w:rPr>
          <w:rFonts w:ascii="Tahoma" w:hAnsi="Tahoma" w:cs="Tahoma"/>
          <w:sz w:val="22"/>
          <w:szCs w:val="22"/>
          <w:vertAlign w:val="superscript"/>
        </w:rPr>
        <w:t>2</w:t>
      </w:r>
      <w:r w:rsidRPr="00035955">
        <w:rPr>
          <w:rFonts w:ascii="Tahoma" w:hAnsi="Tahoma" w:cs="Tahoma"/>
          <w:sz w:val="22"/>
          <w:szCs w:val="22"/>
        </w:rPr>
        <w:t>) nie mogą być mniejsze niż:</w:t>
      </w:r>
    </w:p>
    <w:p w:rsidR="00EC42E3" w:rsidRDefault="00EC42E3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 xml:space="preserve"> = </w:t>
      </w:r>
      <w:r w:rsidR="00E4606F">
        <w:rPr>
          <w:rFonts w:ascii="Tahoma" w:hAnsi="Tahoma" w:cs="Tahoma"/>
          <w:sz w:val="22"/>
          <w:szCs w:val="22"/>
          <w:lang w:val="en-US"/>
        </w:rPr>
        <w:t>52</w:t>
      </w:r>
      <w:r w:rsidRPr="00035955">
        <w:rPr>
          <w:rFonts w:ascii="Tahoma" w:hAnsi="Tahoma" w:cs="Tahoma"/>
          <w:sz w:val="22"/>
          <w:szCs w:val="22"/>
          <w:lang w:val="en-US"/>
        </w:rPr>
        <w:t xml:space="preserve"> lx, </w:t>
      </w: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</w:t>
      </w:r>
      <w:r w:rsidR="00E4606F">
        <w:rPr>
          <w:rFonts w:ascii="Tahoma" w:hAnsi="Tahoma" w:cs="Tahoma"/>
          <w:sz w:val="22"/>
          <w:szCs w:val="22"/>
          <w:lang w:val="en-US"/>
        </w:rPr>
        <w:t>in</w:t>
      </w:r>
      <w:proofErr w:type="spellEnd"/>
      <w:r w:rsidR="00E4606F">
        <w:rPr>
          <w:rFonts w:ascii="Tahoma" w:hAnsi="Tahoma" w:cs="Tahoma"/>
          <w:sz w:val="22"/>
          <w:szCs w:val="22"/>
          <w:lang w:val="en-US"/>
        </w:rPr>
        <w:t xml:space="preserve"> = 33 lx, </w:t>
      </w:r>
      <w:proofErr w:type="spellStart"/>
      <w:r w:rsidR="00E4606F">
        <w:rPr>
          <w:rFonts w:ascii="Tahoma" w:hAnsi="Tahoma" w:cs="Tahoma"/>
          <w:sz w:val="22"/>
          <w:szCs w:val="22"/>
          <w:lang w:val="en-US"/>
        </w:rPr>
        <w:t>Emax</w:t>
      </w:r>
      <w:proofErr w:type="spellEnd"/>
      <w:r w:rsidR="00E4606F">
        <w:rPr>
          <w:rFonts w:ascii="Tahoma" w:hAnsi="Tahoma" w:cs="Tahoma"/>
          <w:sz w:val="22"/>
          <w:szCs w:val="22"/>
          <w:lang w:val="en-US"/>
        </w:rPr>
        <w:t xml:space="preserve"> = 60 lx, </w:t>
      </w:r>
      <w:proofErr w:type="spellStart"/>
      <w:r w:rsidR="00E4606F">
        <w:rPr>
          <w:rFonts w:ascii="Tahoma" w:hAnsi="Tahoma" w:cs="Tahoma"/>
          <w:sz w:val="22"/>
          <w:szCs w:val="22"/>
          <w:lang w:val="en-US"/>
        </w:rPr>
        <w:t>Emin</w:t>
      </w:r>
      <w:proofErr w:type="spellEnd"/>
      <w:r w:rsidR="00E4606F">
        <w:rPr>
          <w:rFonts w:ascii="Tahoma" w:hAnsi="Tahoma" w:cs="Tahoma"/>
          <w:sz w:val="22"/>
          <w:szCs w:val="22"/>
          <w:lang w:val="en-US"/>
        </w:rPr>
        <w:t>/</w:t>
      </w: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 xml:space="preserve"> = 0,</w:t>
      </w:r>
      <w:r w:rsidR="00E4606F">
        <w:rPr>
          <w:rFonts w:ascii="Tahoma" w:hAnsi="Tahoma" w:cs="Tahoma"/>
          <w:sz w:val="22"/>
          <w:szCs w:val="22"/>
          <w:lang w:val="en-US"/>
        </w:rPr>
        <w:t xml:space="preserve">636, </w:t>
      </w:r>
      <w:proofErr w:type="spellStart"/>
      <w:r w:rsidR="00E4606F">
        <w:rPr>
          <w:rFonts w:ascii="Tahoma" w:hAnsi="Tahoma" w:cs="Tahoma"/>
          <w:sz w:val="22"/>
          <w:szCs w:val="22"/>
          <w:lang w:val="en-US"/>
        </w:rPr>
        <w:t>Emin</w:t>
      </w:r>
      <w:proofErr w:type="spellEnd"/>
      <w:r w:rsidR="00E4606F">
        <w:rPr>
          <w:rFonts w:ascii="Tahoma" w:hAnsi="Tahoma" w:cs="Tahoma"/>
          <w:sz w:val="22"/>
          <w:szCs w:val="22"/>
          <w:lang w:val="en-US"/>
        </w:rPr>
        <w:t>/</w:t>
      </w:r>
      <w:proofErr w:type="spellStart"/>
      <w:r w:rsidR="00E4606F">
        <w:rPr>
          <w:rFonts w:ascii="Tahoma" w:hAnsi="Tahoma" w:cs="Tahoma"/>
          <w:sz w:val="22"/>
          <w:szCs w:val="22"/>
          <w:lang w:val="en-US"/>
        </w:rPr>
        <w:t>Emax</w:t>
      </w:r>
      <w:proofErr w:type="spellEnd"/>
      <w:r w:rsidR="00E4606F">
        <w:rPr>
          <w:rFonts w:ascii="Tahoma" w:hAnsi="Tahoma" w:cs="Tahoma"/>
          <w:sz w:val="22"/>
          <w:szCs w:val="22"/>
          <w:lang w:val="en-US"/>
        </w:rPr>
        <w:t xml:space="preserve"> = 0,552</w:t>
      </w:r>
      <w:r w:rsidRPr="00035955">
        <w:rPr>
          <w:rFonts w:ascii="Tahoma" w:hAnsi="Tahoma" w:cs="Tahoma"/>
          <w:sz w:val="22"/>
          <w:szCs w:val="22"/>
          <w:lang w:val="en-US"/>
        </w:rPr>
        <w:t>.</w:t>
      </w:r>
    </w:p>
    <w:p w:rsidR="00640C73" w:rsidRDefault="00640C73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val="en-US"/>
        </w:rPr>
      </w:pPr>
    </w:p>
    <w:p w:rsidR="00640C73" w:rsidRPr="00035955" w:rsidRDefault="00640C73" w:rsidP="00640C73">
      <w:pPr>
        <w:pStyle w:val="Akapitzlist"/>
        <w:suppressAutoHyphens/>
        <w:spacing w:line="276" w:lineRule="auto"/>
        <w:ind w:left="284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4448175" cy="33217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959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2" t="24018" r="38436" b="29435"/>
                    <a:stretch/>
                  </pic:blipFill>
                  <pic:spPr bwMode="auto">
                    <a:xfrm>
                      <a:off x="0" y="0"/>
                      <a:ext cx="4521529" cy="3376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2E3" w:rsidRPr="00035955" w:rsidRDefault="00EC42E3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 xml:space="preserve">Przy zastosowaniu opraw typu LED zawieszonych na wysokości 12m </w:t>
      </w:r>
      <w:r w:rsidR="001C2F85" w:rsidRPr="00035955">
        <w:rPr>
          <w:rFonts w:ascii="Tahoma" w:hAnsi="Tahoma" w:cs="Tahoma"/>
          <w:sz w:val="22"/>
          <w:szCs w:val="22"/>
        </w:rPr>
        <w:t xml:space="preserve">parametry obliczeń oświetleniowych </w:t>
      </w:r>
      <w:r w:rsidRPr="00035955">
        <w:rPr>
          <w:rFonts w:ascii="Tahoma" w:hAnsi="Tahoma" w:cs="Tahoma"/>
          <w:sz w:val="22"/>
          <w:szCs w:val="22"/>
        </w:rPr>
        <w:t>(powierzchnia obliczeniowa pozioma przejścia dla pieszych</w:t>
      </w:r>
      <w:r w:rsidR="00E4606F">
        <w:rPr>
          <w:rFonts w:ascii="Tahoma" w:hAnsi="Tahoma" w:cs="Tahoma"/>
          <w:sz w:val="22"/>
          <w:szCs w:val="22"/>
        </w:rPr>
        <w:t xml:space="preserve"> 40</w:t>
      </w:r>
      <w:r w:rsidR="00687CAF" w:rsidRPr="00035955">
        <w:rPr>
          <w:rFonts w:ascii="Tahoma" w:hAnsi="Tahoma" w:cs="Tahoma"/>
          <w:sz w:val="22"/>
          <w:szCs w:val="22"/>
        </w:rPr>
        <w:t xml:space="preserve"> m</w:t>
      </w:r>
      <w:r w:rsidR="00687CAF" w:rsidRPr="00035955">
        <w:rPr>
          <w:rFonts w:ascii="Tahoma" w:hAnsi="Tahoma" w:cs="Tahoma"/>
          <w:sz w:val="22"/>
          <w:szCs w:val="22"/>
          <w:vertAlign w:val="superscript"/>
        </w:rPr>
        <w:t>2</w:t>
      </w:r>
      <w:r w:rsidRPr="00035955">
        <w:rPr>
          <w:rFonts w:ascii="Tahoma" w:hAnsi="Tahoma" w:cs="Tahoma"/>
          <w:sz w:val="22"/>
          <w:szCs w:val="22"/>
        </w:rPr>
        <w:t>) nie mogą być mniejsze niż:</w:t>
      </w:r>
    </w:p>
    <w:p w:rsidR="00EC42E3" w:rsidRDefault="00EC42E3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 xml:space="preserve"> = </w:t>
      </w:r>
      <w:r w:rsidR="00CD34E1">
        <w:rPr>
          <w:rFonts w:ascii="Tahoma" w:hAnsi="Tahoma" w:cs="Tahoma"/>
          <w:sz w:val="22"/>
          <w:szCs w:val="22"/>
          <w:lang w:val="en-US"/>
        </w:rPr>
        <w:t>50</w:t>
      </w:r>
      <w:r w:rsidRPr="00035955">
        <w:rPr>
          <w:rFonts w:ascii="Tahoma" w:hAnsi="Tahoma" w:cs="Tahoma"/>
          <w:sz w:val="22"/>
          <w:szCs w:val="22"/>
          <w:lang w:val="en-US"/>
        </w:rPr>
        <w:t xml:space="preserve"> lx, </w:t>
      </w: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Emin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 xml:space="preserve"> = 4</w:t>
      </w:r>
      <w:r w:rsidR="00CD34E1">
        <w:rPr>
          <w:rFonts w:ascii="Tahoma" w:hAnsi="Tahoma" w:cs="Tahoma"/>
          <w:sz w:val="22"/>
          <w:szCs w:val="22"/>
          <w:lang w:val="en-US"/>
        </w:rPr>
        <w:t>2</w:t>
      </w:r>
      <w:r w:rsidRPr="00035955">
        <w:rPr>
          <w:rFonts w:ascii="Tahoma" w:hAnsi="Tahoma" w:cs="Tahoma"/>
          <w:sz w:val="22"/>
          <w:szCs w:val="22"/>
          <w:lang w:val="en-US"/>
        </w:rPr>
        <w:t xml:space="preserve"> lx, </w:t>
      </w: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Emax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 xml:space="preserve"> = 5</w:t>
      </w:r>
      <w:r w:rsidR="00CD34E1">
        <w:rPr>
          <w:rFonts w:ascii="Tahoma" w:hAnsi="Tahoma" w:cs="Tahoma"/>
          <w:sz w:val="22"/>
          <w:szCs w:val="22"/>
          <w:lang w:val="en-US"/>
        </w:rPr>
        <w:t>5</w:t>
      </w:r>
      <w:r w:rsidRPr="00035955">
        <w:rPr>
          <w:rFonts w:ascii="Tahoma" w:hAnsi="Tahoma" w:cs="Tahoma"/>
          <w:sz w:val="22"/>
          <w:szCs w:val="22"/>
          <w:lang w:val="en-US"/>
        </w:rPr>
        <w:t xml:space="preserve"> lx, </w:t>
      </w: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Emin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 xml:space="preserve">/ </w:t>
      </w: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 xml:space="preserve"> = 0,</w:t>
      </w:r>
      <w:r w:rsidR="00CD34E1">
        <w:rPr>
          <w:rFonts w:ascii="Tahoma" w:hAnsi="Tahoma" w:cs="Tahoma"/>
          <w:sz w:val="22"/>
          <w:szCs w:val="22"/>
          <w:lang w:val="en-US"/>
        </w:rPr>
        <w:t>831</w:t>
      </w:r>
      <w:r w:rsidRPr="00035955"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Emin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>/</w:t>
      </w:r>
      <w:proofErr w:type="spellStart"/>
      <w:r w:rsidRPr="00035955">
        <w:rPr>
          <w:rFonts w:ascii="Tahoma" w:hAnsi="Tahoma" w:cs="Tahoma"/>
          <w:sz w:val="22"/>
          <w:szCs w:val="22"/>
          <w:lang w:val="en-US"/>
        </w:rPr>
        <w:t>Emax</w:t>
      </w:r>
      <w:proofErr w:type="spellEnd"/>
      <w:r w:rsidRPr="00035955">
        <w:rPr>
          <w:rFonts w:ascii="Tahoma" w:hAnsi="Tahoma" w:cs="Tahoma"/>
          <w:sz w:val="22"/>
          <w:szCs w:val="22"/>
          <w:lang w:val="en-US"/>
        </w:rPr>
        <w:t xml:space="preserve"> = 0,7</w:t>
      </w:r>
      <w:r w:rsidR="00CD34E1">
        <w:rPr>
          <w:rFonts w:ascii="Tahoma" w:hAnsi="Tahoma" w:cs="Tahoma"/>
          <w:sz w:val="22"/>
          <w:szCs w:val="22"/>
          <w:lang w:val="en-US"/>
        </w:rPr>
        <w:t>54</w:t>
      </w:r>
      <w:r w:rsidRPr="00035955">
        <w:rPr>
          <w:rFonts w:ascii="Tahoma" w:hAnsi="Tahoma" w:cs="Tahoma"/>
          <w:sz w:val="22"/>
          <w:szCs w:val="22"/>
          <w:lang w:val="en-US"/>
        </w:rPr>
        <w:t>.</w:t>
      </w:r>
    </w:p>
    <w:p w:rsidR="00640C73" w:rsidRDefault="00640C73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val="en-US"/>
        </w:rPr>
      </w:pPr>
    </w:p>
    <w:p w:rsidR="00640C73" w:rsidRPr="00035955" w:rsidRDefault="00640C73" w:rsidP="00640C73">
      <w:pPr>
        <w:pStyle w:val="Akapitzlist"/>
        <w:suppressAutoHyphens/>
        <w:spacing w:line="276" w:lineRule="auto"/>
        <w:ind w:left="284"/>
        <w:jc w:val="center"/>
        <w:rPr>
          <w:rFonts w:ascii="Tahoma" w:hAnsi="Tahoma" w:cs="Tahoma"/>
          <w:sz w:val="22"/>
          <w:szCs w:val="22"/>
          <w:lang w:val="en-US"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4095750" cy="3028817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4774D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7" t="24577" r="38590" b="30265"/>
                    <a:stretch/>
                  </pic:blipFill>
                  <pic:spPr bwMode="auto">
                    <a:xfrm>
                      <a:off x="0" y="0"/>
                      <a:ext cx="4153323" cy="3071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AC0" w:rsidRPr="00035955" w:rsidRDefault="00EA2B90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lastRenderedPageBreak/>
        <w:t xml:space="preserve">Wybrany </w:t>
      </w:r>
      <w:r w:rsidR="00456AC0" w:rsidRPr="00035955">
        <w:rPr>
          <w:rFonts w:ascii="Tahoma" w:hAnsi="Tahoma" w:cs="Tahoma"/>
          <w:sz w:val="22"/>
          <w:szCs w:val="22"/>
        </w:rPr>
        <w:t>Wykonawca zobowiązany jest</w:t>
      </w:r>
      <w:r w:rsidRPr="00035955">
        <w:rPr>
          <w:rFonts w:ascii="Tahoma" w:hAnsi="Tahoma" w:cs="Tahoma"/>
          <w:sz w:val="22"/>
          <w:szCs w:val="22"/>
        </w:rPr>
        <w:t xml:space="preserve"> przed za</w:t>
      </w:r>
      <w:r w:rsidR="00E4606F">
        <w:rPr>
          <w:rFonts w:ascii="Tahoma" w:hAnsi="Tahoma" w:cs="Tahoma"/>
          <w:sz w:val="22"/>
          <w:szCs w:val="22"/>
        </w:rPr>
        <w:t xml:space="preserve">mówieniem opraw oświetleniowych </w:t>
      </w:r>
      <w:r w:rsidR="00640C73">
        <w:rPr>
          <w:rFonts w:ascii="Tahoma" w:hAnsi="Tahoma" w:cs="Tahoma"/>
          <w:sz w:val="22"/>
          <w:szCs w:val="22"/>
        </w:rPr>
        <w:br/>
      </w:r>
      <w:r w:rsidR="00456AC0" w:rsidRPr="00035955">
        <w:rPr>
          <w:rFonts w:ascii="Tahoma" w:hAnsi="Tahoma" w:cs="Tahoma"/>
          <w:sz w:val="22"/>
          <w:szCs w:val="22"/>
        </w:rPr>
        <w:t xml:space="preserve">do </w:t>
      </w:r>
      <w:r w:rsidRPr="00035955">
        <w:rPr>
          <w:rFonts w:ascii="Tahoma" w:hAnsi="Tahoma" w:cs="Tahoma"/>
          <w:sz w:val="22"/>
          <w:szCs w:val="22"/>
        </w:rPr>
        <w:t xml:space="preserve">przedstawienia Zamawiającemu </w:t>
      </w:r>
      <w:r w:rsidR="00456AC0" w:rsidRPr="00035955">
        <w:rPr>
          <w:rFonts w:ascii="Tahoma" w:hAnsi="Tahoma" w:cs="Tahoma"/>
          <w:sz w:val="22"/>
          <w:szCs w:val="22"/>
        </w:rPr>
        <w:t>obliczeń oświetleniowych potwierdzających spełnienie powyższych wymagań</w:t>
      </w:r>
      <w:r w:rsidR="001418A8" w:rsidRPr="00035955">
        <w:rPr>
          <w:rFonts w:ascii="Tahoma" w:hAnsi="Tahoma" w:cs="Tahoma"/>
          <w:sz w:val="22"/>
          <w:szCs w:val="22"/>
        </w:rPr>
        <w:t xml:space="preserve"> oraz kart katalogowych proponowanych opraw</w:t>
      </w:r>
      <w:r w:rsidR="00456AC0" w:rsidRPr="00035955">
        <w:rPr>
          <w:rFonts w:ascii="Tahoma" w:hAnsi="Tahoma" w:cs="Tahoma"/>
          <w:sz w:val="22"/>
          <w:szCs w:val="22"/>
        </w:rPr>
        <w:t>.</w:t>
      </w:r>
    </w:p>
    <w:p w:rsidR="00EA2B90" w:rsidRPr="00035955" w:rsidRDefault="00EA2B90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35435C" w:rsidRPr="00035955" w:rsidRDefault="0035435C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Słup</w:t>
      </w:r>
      <w:r w:rsidR="00035955" w:rsidRPr="00035955">
        <w:rPr>
          <w:rFonts w:ascii="Tahoma" w:hAnsi="Tahoma" w:cs="Tahoma"/>
          <w:sz w:val="22"/>
          <w:szCs w:val="22"/>
        </w:rPr>
        <w:t>y oświetleniowe</w:t>
      </w:r>
      <w:r w:rsidR="004268B8" w:rsidRPr="00035955">
        <w:rPr>
          <w:rFonts w:ascii="Tahoma" w:hAnsi="Tahoma" w:cs="Tahoma"/>
          <w:sz w:val="22"/>
          <w:szCs w:val="22"/>
        </w:rPr>
        <w:t>:</w:t>
      </w:r>
    </w:p>
    <w:p w:rsidR="00035955" w:rsidRPr="00035955" w:rsidRDefault="00035955" w:rsidP="00035955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Słupy aluminiowe anodowane, zabezpieczonych fabrycznie warstwą elastomeru (min. do wysokości wnęki kablowej).</w:t>
      </w:r>
    </w:p>
    <w:p w:rsidR="00035955" w:rsidRPr="00035955" w:rsidRDefault="00035955" w:rsidP="00035955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Możliwość wprowadzenia trzech kabli pięciożyłowych o przekroju żył do 35mm</w:t>
      </w:r>
      <w:r w:rsidRPr="00035955">
        <w:rPr>
          <w:rFonts w:ascii="Tahoma" w:hAnsi="Tahoma" w:cs="Tahoma"/>
          <w:sz w:val="22"/>
          <w:szCs w:val="22"/>
          <w:vertAlign w:val="superscript"/>
        </w:rPr>
        <w:t>2</w:t>
      </w:r>
      <w:r w:rsidRPr="00035955">
        <w:rPr>
          <w:rFonts w:ascii="Tahoma" w:hAnsi="Tahoma" w:cs="Tahoma"/>
          <w:sz w:val="22"/>
          <w:szCs w:val="22"/>
        </w:rPr>
        <w:t xml:space="preserve"> każda.</w:t>
      </w:r>
    </w:p>
    <w:p w:rsidR="00035955" w:rsidRPr="00035955" w:rsidRDefault="00035955" w:rsidP="00035955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Zabezpieczenie wnęk przed dostępem osób postronnych.</w:t>
      </w:r>
    </w:p>
    <w:p w:rsidR="00035955" w:rsidRPr="00035955" w:rsidRDefault="00035955" w:rsidP="00035955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Na każdym słupie powinna być umieszczona tabliczka znamionowa z podanym typem słupa, datą produkcji oraz tabliczka ostrzegawcza.</w:t>
      </w:r>
    </w:p>
    <w:p w:rsidR="00035955" w:rsidRPr="00035955" w:rsidRDefault="00035955" w:rsidP="00035955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 xml:space="preserve">Wszystkie słupy i maszty musza być montowane na fundamentach prefabrykowanych. </w:t>
      </w:r>
    </w:p>
    <w:p w:rsidR="00035955" w:rsidRPr="00035955" w:rsidRDefault="00035955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0A02" w:rsidRPr="00035955" w:rsidRDefault="004268B8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Kompletny słup</w:t>
      </w:r>
      <w:r w:rsidR="00EC6F00" w:rsidRPr="00035955">
        <w:rPr>
          <w:rFonts w:ascii="Tahoma" w:hAnsi="Tahoma" w:cs="Tahoma"/>
          <w:sz w:val="22"/>
          <w:szCs w:val="22"/>
        </w:rPr>
        <w:t xml:space="preserve"> (fundament, podstawa słupa oświetleniowego, wysięgnik dwuramienny 60° typu „V” o długości </w:t>
      </w:r>
      <w:r w:rsidR="00F04319">
        <w:rPr>
          <w:rFonts w:ascii="Tahoma" w:hAnsi="Tahoma" w:cs="Tahoma"/>
          <w:sz w:val="22"/>
          <w:szCs w:val="22"/>
        </w:rPr>
        <w:t xml:space="preserve">od 1,5 </w:t>
      </w:r>
      <w:r w:rsidR="00EC6F00" w:rsidRPr="00035955">
        <w:rPr>
          <w:rFonts w:ascii="Tahoma" w:hAnsi="Tahoma" w:cs="Tahoma"/>
          <w:sz w:val="22"/>
          <w:szCs w:val="22"/>
        </w:rPr>
        <w:t>do 2,0m, tabliczka bezpiecznikowa)</w:t>
      </w:r>
      <w:r w:rsidRPr="00035955">
        <w:rPr>
          <w:rFonts w:ascii="Tahoma" w:hAnsi="Tahoma" w:cs="Tahoma"/>
          <w:sz w:val="22"/>
          <w:szCs w:val="22"/>
        </w:rPr>
        <w:t xml:space="preserve"> aluminiowy oświetleniowy</w:t>
      </w:r>
      <w:r w:rsidR="008A214B" w:rsidRPr="00035955">
        <w:rPr>
          <w:rFonts w:ascii="Tahoma" w:hAnsi="Tahoma" w:cs="Tahoma"/>
          <w:sz w:val="22"/>
          <w:szCs w:val="22"/>
        </w:rPr>
        <w:t xml:space="preserve"> o całkowitej wysokości 10m lub 12m</w:t>
      </w:r>
      <w:r w:rsidRPr="00035955">
        <w:rPr>
          <w:rFonts w:ascii="Tahoma" w:hAnsi="Tahoma" w:cs="Tahoma"/>
          <w:sz w:val="22"/>
          <w:szCs w:val="22"/>
        </w:rPr>
        <w:t xml:space="preserve"> anodowany</w:t>
      </w:r>
      <w:r w:rsidR="00EC42E3" w:rsidRPr="00035955">
        <w:rPr>
          <w:rFonts w:ascii="Tahoma" w:hAnsi="Tahoma" w:cs="Tahoma"/>
          <w:sz w:val="22"/>
          <w:szCs w:val="22"/>
        </w:rPr>
        <w:t xml:space="preserve"> (kolor</w:t>
      </w:r>
      <w:r w:rsidR="0088747E" w:rsidRPr="00035955">
        <w:rPr>
          <w:rFonts w:ascii="Tahoma" w:hAnsi="Tahoma" w:cs="Tahoma"/>
          <w:sz w:val="22"/>
          <w:szCs w:val="22"/>
        </w:rPr>
        <w:t xml:space="preserve"> słupa</w:t>
      </w:r>
      <w:r w:rsidR="00EC6F00" w:rsidRPr="00035955">
        <w:rPr>
          <w:rFonts w:ascii="Tahoma" w:hAnsi="Tahoma" w:cs="Tahoma"/>
          <w:sz w:val="22"/>
          <w:szCs w:val="22"/>
        </w:rPr>
        <w:t xml:space="preserve"> </w:t>
      </w:r>
      <w:r w:rsidR="00035955" w:rsidRPr="00035955">
        <w:rPr>
          <w:rFonts w:ascii="Tahoma" w:hAnsi="Tahoma" w:cs="Tahoma"/>
          <w:sz w:val="22"/>
          <w:szCs w:val="22"/>
        </w:rPr>
        <w:t>antracytowy RAL 7016, CI65</w:t>
      </w:r>
      <w:r w:rsidR="00EC6F00" w:rsidRPr="00035955">
        <w:rPr>
          <w:rFonts w:ascii="Tahoma" w:hAnsi="Tahoma" w:cs="Tahoma"/>
          <w:sz w:val="22"/>
          <w:szCs w:val="22"/>
        </w:rPr>
        <w:t>)</w:t>
      </w:r>
      <w:r w:rsidRPr="00035955">
        <w:rPr>
          <w:rFonts w:ascii="Tahoma" w:hAnsi="Tahoma" w:cs="Tahoma"/>
          <w:sz w:val="22"/>
          <w:szCs w:val="22"/>
        </w:rPr>
        <w:t>, podstawa</w:t>
      </w:r>
      <w:r w:rsidR="008C3871" w:rsidRPr="00035955">
        <w:rPr>
          <w:rFonts w:ascii="Tahoma" w:hAnsi="Tahoma" w:cs="Tahoma"/>
          <w:sz w:val="22"/>
          <w:szCs w:val="22"/>
        </w:rPr>
        <w:t xml:space="preserve"> słupa zabezpieczona elastomerem poliuretanowym do wysokości dolnej krawędzi wnęki, elastomer poliuretanowy </w:t>
      </w:r>
      <w:r w:rsidRPr="00035955">
        <w:rPr>
          <w:rFonts w:ascii="Tahoma" w:hAnsi="Tahoma" w:cs="Tahoma"/>
          <w:sz w:val="22"/>
          <w:szCs w:val="22"/>
        </w:rPr>
        <w:t>w kolorze słupa</w:t>
      </w:r>
      <w:r w:rsidR="007F0A02" w:rsidRPr="00035955">
        <w:rPr>
          <w:rFonts w:ascii="Tahoma" w:hAnsi="Tahoma" w:cs="Tahoma"/>
          <w:sz w:val="22"/>
          <w:szCs w:val="22"/>
        </w:rPr>
        <w:t>.</w:t>
      </w:r>
      <w:r w:rsidR="003A2328" w:rsidRPr="00035955">
        <w:rPr>
          <w:rFonts w:ascii="Tahoma" w:hAnsi="Tahoma" w:cs="Tahoma"/>
          <w:sz w:val="22"/>
          <w:szCs w:val="22"/>
        </w:rPr>
        <w:t xml:space="preserve"> W przypadku </w:t>
      </w:r>
      <w:r w:rsidR="008A214B" w:rsidRPr="00035955">
        <w:rPr>
          <w:rFonts w:ascii="Tahoma" w:hAnsi="Tahoma" w:cs="Tahoma"/>
          <w:sz w:val="22"/>
          <w:szCs w:val="22"/>
        </w:rPr>
        <w:t>słupa o wysokości 12m należy zastosować słup wzmocniony.</w:t>
      </w:r>
    </w:p>
    <w:p w:rsidR="003F1B93" w:rsidRDefault="003F1B93" w:rsidP="00035955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04319" w:rsidRDefault="00F04319" w:rsidP="00640C73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Wysięgnik dwuramienny:</w:t>
      </w:r>
    </w:p>
    <w:p w:rsidR="00F04319" w:rsidRDefault="00F04319" w:rsidP="00640C73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035955">
        <w:rPr>
          <w:rFonts w:ascii="Tahoma" w:hAnsi="Tahoma" w:cs="Tahoma"/>
          <w:sz w:val="22"/>
          <w:szCs w:val="22"/>
        </w:rPr>
        <w:t xml:space="preserve">ysięgnik </w:t>
      </w:r>
      <w:r>
        <w:rPr>
          <w:rFonts w:ascii="Tahoma" w:hAnsi="Tahoma" w:cs="Tahoma"/>
          <w:sz w:val="22"/>
          <w:szCs w:val="22"/>
        </w:rPr>
        <w:t xml:space="preserve">stalowy </w:t>
      </w:r>
      <w:r w:rsidRPr="00035955">
        <w:rPr>
          <w:rFonts w:ascii="Tahoma" w:hAnsi="Tahoma" w:cs="Tahoma"/>
          <w:sz w:val="22"/>
          <w:szCs w:val="22"/>
        </w:rPr>
        <w:t xml:space="preserve">dwuramienny 60° typu „V” o długości </w:t>
      </w:r>
      <w:r>
        <w:rPr>
          <w:rFonts w:ascii="Tahoma" w:hAnsi="Tahoma" w:cs="Tahoma"/>
          <w:sz w:val="22"/>
          <w:szCs w:val="22"/>
        </w:rPr>
        <w:t xml:space="preserve">od 1,5 </w:t>
      </w:r>
      <w:r w:rsidRPr="00035955">
        <w:rPr>
          <w:rFonts w:ascii="Tahoma" w:hAnsi="Tahoma" w:cs="Tahoma"/>
          <w:sz w:val="22"/>
          <w:szCs w:val="22"/>
        </w:rPr>
        <w:t>do 2,0m</w:t>
      </w:r>
    </w:p>
    <w:p w:rsidR="00F04319" w:rsidRDefault="00F04319" w:rsidP="00640C73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Możliwość mon</w:t>
      </w:r>
      <w:r w:rsidR="00CD34E1">
        <w:rPr>
          <w:rFonts w:ascii="Tahoma" w:hAnsi="Tahoma" w:cs="Tahoma"/>
          <w:sz w:val="22"/>
          <w:szCs w:val="22"/>
        </w:rPr>
        <w:t xml:space="preserve">tażu </w:t>
      </w:r>
      <w:proofErr w:type="spellStart"/>
      <w:r w:rsidR="00CD34E1">
        <w:rPr>
          <w:rFonts w:ascii="Tahoma" w:hAnsi="Tahoma" w:cs="Tahoma"/>
          <w:sz w:val="22"/>
          <w:szCs w:val="22"/>
        </w:rPr>
        <w:t>nasłupowego</w:t>
      </w:r>
      <w:proofErr w:type="spellEnd"/>
      <w:r w:rsidR="00CD34E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D34E1">
        <w:rPr>
          <w:rFonts w:ascii="Tahoma" w:hAnsi="Tahoma" w:cs="Tahoma"/>
          <w:sz w:val="22"/>
          <w:szCs w:val="22"/>
        </w:rPr>
        <w:t>nadsieciowego</w:t>
      </w:r>
      <w:proofErr w:type="spellEnd"/>
      <w:r w:rsidR="00CD34E1">
        <w:rPr>
          <w:rFonts w:ascii="Tahoma" w:hAnsi="Tahoma" w:cs="Tahoma"/>
          <w:sz w:val="22"/>
          <w:szCs w:val="22"/>
        </w:rPr>
        <w:t xml:space="preserve"> lub</w:t>
      </w:r>
      <w:r>
        <w:rPr>
          <w:rFonts w:ascii="Tahoma" w:hAnsi="Tahoma" w:cs="Tahoma"/>
          <w:sz w:val="22"/>
          <w:szCs w:val="22"/>
        </w:rPr>
        <w:t xml:space="preserve"> podsieciowego.</w:t>
      </w:r>
    </w:p>
    <w:p w:rsidR="00F04319" w:rsidRDefault="00F04319" w:rsidP="00640C73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035955" w:rsidRPr="00F04319" w:rsidRDefault="00035955" w:rsidP="00640C73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F04319">
        <w:rPr>
          <w:rFonts w:ascii="Tahoma" w:hAnsi="Tahoma" w:cs="Tahoma"/>
          <w:sz w:val="22"/>
          <w:szCs w:val="22"/>
        </w:rPr>
        <w:t>Wymagania realizacyjne:</w:t>
      </w:r>
    </w:p>
    <w:p w:rsidR="00F04319" w:rsidRPr="00F04319" w:rsidRDefault="00F04319" w:rsidP="00640C73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F04319">
        <w:rPr>
          <w:rFonts w:ascii="Tahoma" w:hAnsi="Tahoma" w:cs="Tahoma"/>
          <w:sz w:val="22"/>
          <w:szCs w:val="22"/>
        </w:rPr>
        <w:t xml:space="preserve">W masztach i słupach należy prowadzić przewody miedziane w izolacji </w:t>
      </w:r>
      <w:proofErr w:type="spellStart"/>
      <w:r w:rsidRPr="00F04319">
        <w:rPr>
          <w:rFonts w:ascii="Tahoma" w:hAnsi="Tahoma" w:cs="Tahoma"/>
          <w:sz w:val="22"/>
          <w:szCs w:val="22"/>
        </w:rPr>
        <w:t>polwinitowej</w:t>
      </w:r>
      <w:proofErr w:type="spellEnd"/>
      <w:r w:rsidRPr="00F04319">
        <w:rPr>
          <w:rFonts w:ascii="Tahoma" w:hAnsi="Tahoma" w:cs="Tahoma"/>
          <w:sz w:val="22"/>
          <w:szCs w:val="22"/>
        </w:rPr>
        <w:t xml:space="preserve">, </w:t>
      </w:r>
      <w:r w:rsidRPr="00F04319">
        <w:rPr>
          <w:rFonts w:ascii="Tahoma" w:hAnsi="Tahoma" w:cs="Tahoma"/>
          <w:sz w:val="22"/>
          <w:szCs w:val="22"/>
        </w:rPr>
        <w:br/>
        <w:t>o przekroju żył min. 2,5mm</w:t>
      </w:r>
      <w:r w:rsidRPr="00F04319">
        <w:rPr>
          <w:rFonts w:ascii="Tahoma" w:hAnsi="Tahoma" w:cs="Tahoma"/>
          <w:sz w:val="22"/>
          <w:szCs w:val="22"/>
          <w:vertAlign w:val="superscript"/>
        </w:rPr>
        <w:t>2</w:t>
      </w:r>
      <w:r w:rsidRPr="00F04319">
        <w:rPr>
          <w:rFonts w:ascii="Tahoma" w:hAnsi="Tahoma" w:cs="Tahoma"/>
          <w:sz w:val="22"/>
          <w:szCs w:val="22"/>
        </w:rPr>
        <w:t xml:space="preserve"> każda.</w:t>
      </w:r>
    </w:p>
    <w:p w:rsidR="00F04319" w:rsidRPr="00F04319" w:rsidRDefault="00F04319" w:rsidP="00640C73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F04319">
        <w:rPr>
          <w:rFonts w:ascii="Tahoma" w:hAnsi="Tahoma" w:cs="Tahoma"/>
          <w:sz w:val="22"/>
          <w:szCs w:val="22"/>
        </w:rPr>
        <w:t xml:space="preserve">W wysięgnikach montowanych na słupach linii napowietrznej należy stosować przewody miedziane w izolacji odpornej na działanie warunków atmosferycznych, </w:t>
      </w:r>
      <w:r w:rsidRPr="00F04319">
        <w:rPr>
          <w:rFonts w:ascii="Tahoma" w:hAnsi="Tahoma" w:cs="Tahoma"/>
          <w:sz w:val="22"/>
          <w:szCs w:val="22"/>
        </w:rPr>
        <w:br/>
        <w:t>o przekroju żył min. 2,5mm</w:t>
      </w:r>
      <w:r w:rsidRPr="00F04319">
        <w:rPr>
          <w:rFonts w:ascii="Tahoma" w:hAnsi="Tahoma" w:cs="Tahoma"/>
          <w:sz w:val="22"/>
          <w:szCs w:val="22"/>
          <w:vertAlign w:val="superscript"/>
        </w:rPr>
        <w:t>2</w:t>
      </w:r>
      <w:r w:rsidRPr="00F04319">
        <w:rPr>
          <w:rFonts w:ascii="Tahoma" w:hAnsi="Tahoma" w:cs="Tahoma"/>
          <w:sz w:val="22"/>
          <w:szCs w:val="22"/>
        </w:rPr>
        <w:t xml:space="preserve"> każda.</w:t>
      </w:r>
    </w:p>
    <w:p w:rsidR="00F04319" w:rsidRPr="00F04319" w:rsidRDefault="00F04319" w:rsidP="00640C73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F04319">
        <w:rPr>
          <w:rFonts w:ascii="Tahoma" w:hAnsi="Tahoma" w:cs="Tahoma"/>
          <w:sz w:val="22"/>
          <w:szCs w:val="22"/>
        </w:rPr>
        <w:t>Wszystkie elementy mocujące muszą być odporne na działanie warunków atmosferycznych.</w:t>
      </w:r>
    </w:p>
    <w:p w:rsidR="00F04319" w:rsidRPr="00F04319" w:rsidRDefault="00F04319" w:rsidP="00640C73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F04319">
        <w:rPr>
          <w:rFonts w:ascii="Tahoma" w:hAnsi="Tahoma" w:cs="Tahoma"/>
          <w:sz w:val="22"/>
          <w:szCs w:val="22"/>
        </w:rPr>
        <w:t>Wysięgniki, wsporniki, uchwyty i inne elementy wykonane ze stali muszą być ocynkowane obustronnie.</w:t>
      </w:r>
    </w:p>
    <w:p w:rsidR="00035955" w:rsidRPr="00035955" w:rsidRDefault="00035955" w:rsidP="00640C73">
      <w:pPr>
        <w:pStyle w:val="Akapitzlist"/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3F1B93" w:rsidRPr="00035955" w:rsidRDefault="003F1B93" w:rsidP="00640C73">
      <w:p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color w:val="000000"/>
          <w:sz w:val="22"/>
          <w:szCs w:val="22"/>
        </w:rPr>
        <w:t xml:space="preserve">Zgodnie z art. 10 ustawy „Prawo Budowlane” z dnia 7 lipca 1994 (Dz. U. z 2003r. Nr 207, poz. 2016) z późniejszymi zmianami należy stosować jedynie wyroby dopuszczone do obrotu zgodnie </w:t>
      </w:r>
      <w:r w:rsidR="00640C73">
        <w:rPr>
          <w:rFonts w:ascii="Tahoma" w:hAnsi="Tahoma" w:cs="Tahoma"/>
          <w:color w:val="000000"/>
          <w:sz w:val="22"/>
          <w:szCs w:val="22"/>
        </w:rPr>
        <w:br/>
      </w:r>
      <w:r w:rsidRPr="00035955">
        <w:rPr>
          <w:rFonts w:ascii="Tahoma" w:hAnsi="Tahoma" w:cs="Tahoma"/>
          <w:color w:val="000000"/>
          <w:sz w:val="22"/>
          <w:szCs w:val="22"/>
        </w:rPr>
        <w:t xml:space="preserve">z wymogami ustawy „O Wyrobach Budowlanych” z dnia  16 kwietnia 2004r (Dz. U. z 2004r. Nr 92, poz. 881). </w:t>
      </w:r>
    </w:p>
    <w:p w:rsidR="003F1B93" w:rsidRDefault="003F1B93" w:rsidP="00640C73">
      <w:pPr>
        <w:spacing w:line="276" w:lineRule="auto"/>
        <w:ind w:left="284"/>
        <w:jc w:val="both"/>
        <w:rPr>
          <w:rFonts w:ascii="Tahoma" w:hAnsi="Tahoma" w:cs="Tahoma"/>
          <w:color w:val="000000"/>
          <w:sz w:val="22"/>
          <w:szCs w:val="22"/>
        </w:rPr>
      </w:pPr>
      <w:r w:rsidRPr="00035955">
        <w:rPr>
          <w:rFonts w:ascii="Tahoma" w:hAnsi="Tahoma" w:cs="Tahoma"/>
          <w:color w:val="000000"/>
          <w:sz w:val="22"/>
          <w:szCs w:val="22"/>
        </w:rPr>
        <w:t xml:space="preserve">W związku z powyższym należy stosować jedynie wyroby posiadające deklaracje zgodności </w:t>
      </w:r>
      <w:r w:rsidR="00640C73">
        <w:rPr>
          <w:rFonts w:ascii="Tahoma" w:hAnsi="Tahoma" w:cs="Tahoma"/>
          <w:color w:val="000000"/>
          <w:sz w:val="22"/>
          <w:szCs w:val="22"/>
        </w:rPr>
        <w:br/>
      </w:r>
      <w:r w:rsidRPr="00035955">
        <w:rPr>
          <w:rFonts w:ascii="Tahoma" w:hAnsi="Tahoma" w:cs="Tahoma"/>
          <w:color w:val="000000"/>
          <w:sz w:val="22"/>
          <w:szCs w:val="22"/>
        </w:rPr>
        <w:t>z normami zharmonizowanymi i oznakowane znakiem  „CE”  lub znakiem budowlanym „B”.</w:t>
      </w:r>
    </w:p>
    <w:p w:rsidR="00035955" w:rsidRPr="00035955" w:rsidRDefault="00035955" w:rsidP="00640C73">
      <w:p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372EC" w:rsidRPr="00035955" w:rsidRDefault="00B372EC" w:rsidP="00640C7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366AB" w:rsidRPr="00B24AC9" w:rsidRDefault="00B372EC" w:rsidP="00B24AC9">
      <w:pPr>
        <w:pStyle w:val="Akapitzlist"/>
        <w:numPr>
          <w:ilvl w:val="0"/>
          <w:numId w:val="2"/>
        </w:numPr>
        <w:suppressAutoHyphens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>Wykonawca ma do dyspozycji osoby legitymujące się kwalifikacjami zawodowymi, uprawnieniami, doświadczeniem i wykształceniem odpowiednimi do stanowi</w:t>
      </w:r>
      <w:r w:rsidR="00663437" w:rsidRPr="00035955">
        <w:rPr>
          <w:rFonts w:ascii="Tahoma" w:hAnsi="Tahoma" w:cs="Tahoma"/>
          <w:sz w:val="22"/>
          <w:szCs w:val="22"/>
        </w:rPr>
        <w:t>sk, jakie zostaną im powierzone:</w:t>
      </w:r>
      <w:r w:rsidRPr="00B24AC9">
        <w:rPr>
          <w:rFonts w:ascii="Tahoma" w:hAnsi="Tahoma" w:cs="Tahoma"/>
          <w:sz w:val="22"/>
          <w:szCs w:val="22"/>
        </w:rPr>
        <w:t xml:space="preserve"> </w:t>
      </w:r>
    </w:p>
    <w:p w:rsidR="00A366AB" w:rsidRPr="00035955" w:rsidRDefault="00D47002" w:rsidP="00640C73">
      <w:pPr>
        <w:spacing w:line="276" w:lineRule="auto"/>
        <w:ind w:firstLine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t xml:space="preserve">Brygadzista  – </w:t>
      </w:r>
      <w:r w:rsidR="00010C74">
        <w:rPr>
          <w:rFonts w:ascii="Tahoma" w:hAnsi="Tahoma" w:cs="Tahoma"/>
          <w:sz w:val="22"/>
          <w:szCs w:val="22"/>
        </w:rPr>
        <w:t>2</w:t>
      </w:r>
      <w:r w:rsidRPr="00035955">
        <w:rPr>
          <w:rFonts w:ascii="Tahoma" w:hAnsi="Tahoma" w:cs="Tahoma"/>
          <w:sz w:val="22"/>
          <w:szCs w:val="22"/>
        </w:rPr>
        <w:t xml:space="preserve"> osob</w:t>
      </w:r>
      <w:r w:rsidR="00010C74">
        <w:rPr>
          <w:rFonts w:ascii="Tahoma" w:hAnsi="Tahoma" w:cs="Tahoma"/>
          <w:sz w:val="22"/>
          <w:szCs w:val="22"/>
        </w:rPr>
        <w:t>y</w:t>
      </w:r>
      <w:r w:rsidR="00A366AB" w:rsidRPr="00035955">
        <w:rPr>
          <w:rFonts w:ascii="Tahoma" w:hAnsi="Tahoma" w:cs="Tahoma"/>
          <w:sz w:val="22"/>
          <w:szCs w:val="22"/>
        </w:rPr>
        <w:t xml:space="preserve"> </w:t>
      </w:r>
    </w:p>
    <w:p w:rsidR="00A366AB" w:rsidRPr="00035955" w:rsidRDefault="00A366AB" w:rsidP="00640C73">
      <w:pPr>
        <w:spacing w:line="276" w:lineRule="auto"/>
        <w:ind w:firstLine="284"/>
        <w:jc w:val="both"/>
        <w:rPr>
          <w:rFonts w:ascii="Tahoma" w:hAnsi="Tahoma" w:cs="Tahoma"/>
          <w:sz w:val="22"/>
          <w:szCs w:val="22"/>
        </w:rPr>
      </w:pPr>
      <w:r w:rsidRPr="00035955">
        <w:rPr>
          <w:rFonts w:ascii="Tahoma" w:hAnsi="Tahoma" w:cs="Tahoma"/>
          <w:sz w:val="22"/>
          <w:szCs w:val="22"/>
        </w:rPr>
        <w:lastRenderedPageBreak/>
        <w:t xml:space="preserve">Monter elektryk – </w:t>
      </w:r>
      <w:r w:rsidR="00D47002" w:rsidRPr="00035955">
        <w:rPr>
          <w:rFonts w:ascii="Tahoma" w:hAnsi="Tahoma" w:cs="Tahoma"/>
          <w:sz w:val="22"/>
          <w:szCs w:val="22"/>
        </w:rPr>
        <w:t>1</w:t>
      </w:r>
      <w:r w:rsidRPr="00035955">
        <w:rPr>
          <w:rFonts w:ascii="Tahoma" w:hAnsi="Tahoma" w:cs="Tahoma"/>
          <w:sz w:val="22"/>
          <w:szCs w:val="22"/>
        </w:rPr>
        <w:t>0 osób</w:t>
      </w:r>
    </w:p>
    <w:p w:rsidR="00EC6F00" w:rsidRPr="00035955" w:rsidRDefault="00EC6F00" w:rsidP="00640C73">
      <w:pPr>
        <w:spacing w:line="276" w:lineRule="auto"/>
        <w:ind w:firstLine="284"/>
        <w:jc w:val="both"/>
        <w:rPr>
          <w:rFonts w:ascii="Tahoma" w:hAnsi="Tahoma" w:cs="Tahoma"/>
          <w:sz w:val="22"/>
          <w:szCs w:val="22"/>
        </w:rPr>
      </w:pPr>
    </w:p>
    <w:p w:rsidR="005A4B79" w:rsidRDefault="005A4B79" w:rsidP="00640C73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1A25B9">
        <w:rPr>
          <w:rFonts w:ascii="Tahoma" w:hAnsi="Tahoma" w:cs="Tahoma"/>
          <w:sz w:val="22"/>
          <w:szCs w:val="22"/>
        </w:rPr>
        <w:t xml:space="preserve">Wykonawca, zobowiązany jest do zapoznania się z przedmiotowymi lokalizacjami w terenie oraz uwzględnienia w ofercie wszystkich kosztów związanych z koniecznością odtworzenia istniejącej infrastruktury, w tym m.in.: nawierzchni, </w:t>
      </w:r>
      <w:r w:rsidR="0009273D" w:rsidRPr="001A25B9">
        <w:rPr>
          <w:rFonts w:ascii="Tahoma" w:hAnsi="Tahoma" w:cs="Tahoma"/>
          <w:sz w:val="22"/>
          <w:szCs w:val="22"/>
        </w:rPr>
        <w:t xml:space="preserve">urządzeń sygnalizacji świetlnej przeniesienia </w:t>
      </w:r>
      <w:r w:rsidRPr="001A25B9">
        <w:rPr>
          <w:rFonts w:ascii="Tahoma" w:hAnsi="Tahoma" w:cs="Tahoma"/>
          <w:sz w:val="22"/>
          <w:szCs w:val="22"/>
        </w:rPr>
        <w:t>oznakowania</w:t>
      </w:r>
      <w:r w:rsidR="0009273D" w:rsidRPr="001A25B9">
        <w:rPr>
          <w:rFonts w:ascii="Tahoma" w:hAnsi="Tahoma" w:cs="Tahoma"/>
          <w:sz w:val="22"/>
          <w:szCs w:val="22"/>
        </w:rPr>
        <w:t xml:space="preserve"> pionowego na wymieniony słup</w:t>
      </w:r>
      <w:r w:rsidRPr="001A25B9">
        <w:rPr>
          <w:rFonts w:ascii="Tahoma" w:hAnsi="Tahoma" w:cs="Tahoma"/>
          <w:sz w:val="22"/>
          <w:szCs w:val="22"/>
        </w:rPr>
        <w:t>, a także innych zamontowanych na istniejących słupach</w:t>
      </w:r>
      <w:r w:rsidR="005B27F6" w:rsidRPr="001A25B9">
        <w:rPr>
          <w:rFonts w:ascii="Tahoma" w:hAnsi="Tahoma" w:cs="Tahoma"/>
          <w:sz w:val="22"/>
          <w:szCs w:val="22"/>
        </w:rPr>
        <w:t xml:space="preserve"> oświetlenia ulicznego.</w:t>
      </w:r>
      <w:r w:rsidRPr="001A25B9">
        <w:rPr>
          <w:rFonts w:ascii="Tahoma" w:hAnsi="Tahoma" w:cs="Tahoma"/>
          <w:sz w:val="22"/>
          <w:szCs w:val="22"/>
        </w:rPr>
        <w:t xml:space="preserve">  </w:t>
      </w:r>
      <w:r w:rsidR="00B24AC9">
        <w:rPr>
          <w:rFonts w:ascii="Tahoma" w:hAnsi="Tahoma" w:cs="Tahoma"/>
          <w:sz w:val="22"/>
          <w:szCs w:val="22"/>
        </w:rPr>
        <w:t>Zakres prac obejmuje również wymianę</w:t>
      </w:r>
      <w:r w:rsidR="0009273D" w:rsidRPr="001A25B9">
        <w:rPr>
          <w:rFonts w:ascii="Tahoma" w:hAnsi="Tahoma" w:cs="Tahoma"/>
          <w:sz w:val="22"/>
          <w:szCs w:val="22"/>
        </w:rPr>
        <w:t xml:space="preserve"> istniejących</w:t>
      </w:r>
      <w:r w:rsidR="00B24AC9">
        <w:rPr>
          <w:rFonts w:ascii="Tahoma" w:hAnsi="Tahoma" w:cs="Tahoma"/>
          <w:sz w:val="22"/>
          <w:szCs w:val="22"/>
        </w:rPr>
        <w:t xml:space="preserve"> tabliczek słupowych oraz opraw bezpiecznikowych na liniach napowietrznych.</w:t>
      </w:r>
      <w:r w:rsidR="0009273D" w:rsidRPr="001A25B9">
        <w:rPr>
          <w:rFonts w:ascii="Tahoma" w:hAnsi="Tahoma" w:cs="Tahoma"/>
          <w:sz w:val="22"/>
          <w:szCs w:val="22"/>
        </w:rPr>
        <w:t xml:space="preserve"> </w:t>
      </w:r>
      <w:r w:rsidR="00B24AC9" w:rsidRPr="001A25B9">
        <w:rPr>
          <w:rFonts w:ascii="Tahoma" w:hAnsi="Tahoma" w:cs="Tahoma"/>
          <w:sz w:val="22"/>
          <w:szCs w:val="22"/>
        </w:rPr>
        <w:t xml:space="preserve">Wykonawca ma obowiązek wymiany </w:t>
      </w:r>
      <w:r w:rsidR="0009273D" w:rsidRPr="001A25B9">
        <w:rPr>
          <w:rFonts w:ascii="Tahoma" w:hAnsi="Tahoma" w:cs="Tahoma"/>
          <w:sz w:val="22"/>
          <w:szCs w:val="22"/>
        </w:rPr>
        <w:t>metalowych skrzynek podziałowych na nowe</w:t>
      </w:r>
      <w:r w:rsidR="00B24AC9">
        <w:rPr>
          <w:rFonts w:ascii="Tahoma" w:hAnsi="Tahoma" w:cs="Tahoma"/>
          <w:sz w:val="22"/>
          <w:szCs w:val="22"/>
        </w:rPr>
        <w:t>,</w:t>
      </w:r>
      <w:r w:rsidR="0009273D" w:rsidRPr="001A25B9">
        <w:rPr>
          <w:rFonts w:ascii="Tahoma" w:hAnsi="Tahoma" w:cs="Tahoma"/>
          <w:sz w:val="22"/>
          <w:szCs w:val="22"/>
        </w:rPr>
        <w:t xml:space="preserve"> wykonane z poliestru termoutwardzalnego.</w:t>
      </w:r>
    </w:p>
    <w:p w:rsidR="001A25B9" w:rsidRPr="001A25B9" w:rsidRDefault="001A25B9" w:rsidP="001A25B9">
      <w:pPr>
        <w:pStyle w:val="Akapitzlist"/>
        <w:rPr>
          <w:rFonts w:ascii="Tahoma" w:hAnsi="Tahoma" w:cs="Tahoma"/>
          <w:sz w:val="22"/>
          <w:szCs w:val="22"/>
        </w:rPr>
      </w:pPr>
    </w:p>
    <w:p w:rsidR="001A25B9" w:rsidRPr="00E17A7D" w:rsidRDefault="001A25B9" w:rsidP="00E17A7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zobowiązany jest do </w:t>
      </w:r>
      <w:r w:rsidR="00B24AC9">
        <w:rPr>
          <w:rFonts w:ascii="Tahoma" w:hAnsi="Tahoma" w:cs="Tahoma"/>
          <w:sz w:val="22"/>
          <w:szCs w:val="22"/>
        </w:rPr>
        <w:t xml:space="preserve">sporządzenia protokołów z </w:t>
      </w:r>
      <w:r>
        <w:rPr>
          <w:rFonts w:ascii="Tahoma" w:hAnsi="Tahoma" w:cs="Tahoma"/>
          <w:sz w:val="22"/>
          <w:szCs w:val="22"/>
        </w:rPr>
        <w:t>pomiarów powykonawczych, takich jak:</w:t>
      </w:r>
    </w:p>
    <w:p w:rsidR="001A25B9" w:rsidRDefault="001A25B9" w:rsidP="001A25B9">
      <w:pPr>
        <w:pStyle w:val="Akapitzlist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badanie linii kablowej </w:t>
      </w:r>
      <w:proofErr w:type="spellStart"/>
      <w:r>
        <w:rPr>
          <w:rFonts w:ascii="Tahoma" w:hAnsi="Tahoma" w:cs="Tahoma"/>
          <w:sz w:val="22"/>
          <w:szCs w:val="22"/>
        </w:rPr>
        <w:t>nn</w:t>
      </w:r>
      <w:proofErr w:type="spellEnd"/>
      <w:r>
        <w:rPr>
          <w:rFonts w:ascii="Tahoma" w:hAnsi="Tahoma" w:cs="Tahoma"/>
          <w:sz w:val="22"/>
          <w:szCs w:val="22"/>
        </w:rPr>
        <w:t xml:space="preserve"> (zasilanie),</w:t>
      </w:r>
    </w:p>
    <w:p w:rsidR="001A25B9" w:rsidRDefault="001A25B9" w:rsidP="001A25B9">
      <w:pPr>
        <w:pStyle w:val="Akapitzlist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sprawdzenie i pomiar 1-fazowego obwodu </w:t>
      </w:r>
      <w:proofErr w:type="spellStart"/>
      <w:r>
        <w:rPr>
          <w:rFonts w:ascii="Tahoma" w:hAnsi="Tahoma" w:cs="Tahoma"/>
          <w:sz w:val="22"/>
          <w:szCs w:val="22"/>
        </w:rPr>
        <w:t>nn</w:t>
      </w:r>
      <w:proofErr w:type="spellEnd"/>
      <w:r>
        <w:rPr>
          <w:rFonts w:ascii="Tahoma" w:hAnsi="Tahoma" w:cs="Tahoma"/>
          <w:sz w:val="22"/>
          <w:szCs w:val="22"/>
        </w:rPr>
        <w:t xml:space="preserve"> (piony),</w:t>
      </w:r>
    </w:p>
    <w:p w:rsidR="001A25B9" w:rsidRDefault="001A25B9" w:rsidP="001A25B9">
      <w:pPr>
        <w:pStyle w:val="Akapitzlist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badanie i pomiar instalacji uziemiającej,</w:t>
      </w:r>
    </w:p>
    <w:p w:rsidR="00B24AC9" w:rsidRDefault="00B24AC9" w:rsidP="00B24AC9">
      <w:pPr>
        <w:pStyle w:val="Akapitzlist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pomiar natężenia oświetlenia.</w:t>
      </w:r>
    </w:p>
    <w:p w:rsidR="00B24AC9" w:rsidRDefault="00B24AC9" w:rsidP="00B24AC9">
      <w:pPr>
        <w:pStyle w:val="Akapitzlist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24AC9" w:rsidRPr="005607B1" w:rsidRDefault="00B24AC9" w:rsidP="005607B1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607B1">
        <w:rPr>
          <w:rFonts w:ascii="Tahoma" w:hAnsi="Tahoma" w:cs="Tahoma"/>
          <w:sz w:val="22"/>
          <w:szCs w:val="22"/>
        </w:rPr>
        <w:t xml:space="preserve">Zakres </w:t>
      </w:r>
      <w:r w:rsidR="005607B1" w:rsidRPr="005607B1">
        <w:rPr>
          <w:rFonts w:ascii="Tahoma" w:hAnsi="Tahoma" w:cs="Tahoma"/>
          <w:sz w:val="22"/>
          <w:szCs w:val="22"/>
        </w:rPr>
        <w:t>wymiany infrastruktury oświetleniowej</w:t>
      </w:r>
      <w:r w:rsidRPr="005607B1">
        <w:rPr>
          <w:rFonts w:ascii="Tahoma" w:hAnsi="Tahoma" w:cs="Tahoma"/>
          <w:sz w:val="22"/>
          <w:szCs w:val="22"/>
        </w:rPr>
        <w:t xml:space="preserve"> przedstawiono na załączonych do niniejszego Opisu </w:t>
      </w:r>
      <w:r w:rsidR="005607B1" w:rsidRPr="005607B1">
        <w:rPr>
          <w:rFonts w:ascii="Tahoma" w:hAnsi="Tahoma" w:cs="Tahoma"/>
          <w:sz w:val="22"/>
          <w:szCs w:val="22"/>
        </w:rPr>
        <w:t xml:space="preserve"> </w:t>
      </w:r>
      <w:r w:rsidRPr="005607B1">
        <w:rPr>
          <w:rFonts w:ascii="Tahoma" w:hAnsi="Tahoma" w:cs="Tahoma"/>
          <w:sz w:val="22"/>
          <w:szCs w:val="22"/>
        </w:rPr>
        <w:t>Przedmiotu Zamówienia Kartach Lokalizacji.</w:t>
      </w:r>
    </w:p>
    <w:p w:rsidR="005607B1" w:rsidRPr="005607B1" w:rsidRDefault="005607B1" w:rsidP="005607B1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5607B1" w:rsidRPr="005607B1" w:rsidSect="00E2081D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44" w:rsidRDefault="00124144" w:rsidP="009A0374">
      <w:r>
        <w:separator/>
      </w:r>
    </w:p>
  </w:endnote>
  <w:endnote w:type="continuationSeparator" w:id="0">
    <w:p w:rsidR="00124144" w:rsidRDefault="00124144" w:rsidP="009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403924"/>
      <w:docPartObj>
        <w:docPartGallery w:val="Page Numbers (Bottom of Page)"/>
        <w:docPartUnique/>
      </w:docPartObj>
    </w:sdtPr>
    <w:sdtContent>
      <w:p w:rsidR="009A0374" w:rsidRDefault="009A0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43">
          <w:rPr>
            <w:noProof/>
          </w:rPr>
          <w:t>5</w:t>
        </w:r>
        <w:r>
          <w:fldChar w:fldCharType="end"/>
        </w:r>
      </w:p>
    </w:sdtContent>
  </w:sdt>
  <w:p w:rsidR="009A0374" w:rsidRDefault="009A0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44" w:rsidRDefault="00124144" w:rsidP="009A0374">
      <w:r>
        <w:separator/>
      </w:r>
    </w:p>
  </w:footnote>
  <w:footnote w:type="continuationSeparator" w:id="0">
    <w:p w:rsidR="00124144" w:rsidRDefault="00124144" w:rsidP="009A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E32"/>
    <w:multiLevelType w:val="hybridMultilevel"/>
    <w:tmpl w:val="1D269D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CD03B7"/>
    <w:multiLevelType w:val="hybridMultilevel"/>
    <w:tmpl w:val="C99A9AF2"/>
    <w:lvl w:ilvl="0" w:tplc="4CD4E3C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EF044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2E5"/>
    <w:multiLevelType w:val="hybridMultilevel"/>
    <w:tmpl w:val="2FFA163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98728E"/>
    <w:multiLevelType w:val="hybridMultilevel"/>
    <w:tmpl w:val="CC22D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C93699"/>
    <w:multiLevelType w:val="hybridMultilevel"/>
    <w:tmpl w:val="A09E33EA"/>
    <w:lvl w:ilvl="0" w:tplc="F1DAD65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A000507"/>
    <w:multiLevelType w:val="hybridMultilevel"/>
    <w:tmpl w:val="1FC6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D72DA"/>
    <w:multiLevelType w:val="hybridMultilevel"/>
    <w:tmpl w:val="32B4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A68C6"/>
    <w:multiLevelType w:val="hybridMultilevel"/>
    <w:tmpl w:val="9FD2A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BE"/>
    <w:rsid w:val="00010C74"/>
    <w:rsid w:val="00035955"/>
    <w:rsid w:val="00047B29"/>
    <w:rsid w:val="00056FDC"/>
    <w:rsid w:val="00072CFA"/>
    <w:rsid w:val="0009273D"/>
    <w:rsid w:val="00096195"/>
    <w:rsid w:val="000B730F"/>
    <w:rsid w:val="000F164B"/>
    <w:rsid w:val="00102959"/>
    <w:rsid w:val="00124144"/>
    <w:rsid w:val="00133A3D"/>
    <w:rsid w:val="001418A8"/>
    <w:rsid w:val="001A25B9"/>
    <w:rsid w:val="001C2F85"/>
    <w:rsid w:val="001C35FF"/>
    <w:rsid w:val="002A20CF"/>
    <w:rsid w:val="00304119"/>
    <w:rsid w:val="00337CD3"/>
    <w:rsid w:val="0035435C"/>
    <w:rsid w:val="003A2328"/>
    <w:rsid w:val="003F1B93"/>
    <w:rsid w:val="004135AA"/>
    <w:rsid w:val="004268B8"/>
    <w:rsid w:val="00436BBE"/>
    <w:rsid w:val="00456AC0"/>
    <w:rsid w:val="0046400C"/>
    <w:rsid w:val="004D3F45"/>
    <w:rsid w:val="00505916"/>
    <w:rsid w:val="005607B1"/>
    <w:rsid w:val="00572860"/>
    <w:rsid w:val="005A4B79"/>
    <w:rsid w:val="005A61B0"/>
    <w:rsid w:val="005B27F6"/>
    <w:rsid w:val="005D7234"/>
    <w:rsid w:val="005E3C00"/>
    <w:rsid w:val="00612DD4"/>
    <w:rsid w:val="00631428"/>
    <w:rsid w:val="00640C73"/>
    <w:rsid w:val="00663437"/>
    <w:rsid w:val="00687CAF"/>
    <w:rsid w:val="006F472A"/>
    <w:rsid w:val="00731F81"/>
    <w:rsid w:val="007F0A02"/>
    <w:rsid w:val="0088747E"/>
    <w:rsid w:val="008879C9"/>
    <w:rsid w:val="008A214B"/>
    <w:rsid w:val="008C3871"/>
    <w:rsid w:val="009A0374"/>
    <w:rsid w:val="009E043B"/>
    <w:rsid w:val="00A366AB"/>
    <w:rsid w:val="00A36AEC"/>
    <w:rsid w:val="00A654B7"/>
    <w:rsid w:val="00B075C1"/>
    <w:rsid w:val="00B24AC9"/>
    <w:rsid w:val="00B372EC"/>
    <w:rsid w:val="00BC30D6"/>
    <w:rsid w:val="00BE0330"/>
    <w:rsid w:val="00C12349"/>
    <w:rsid w:val="00C15FB5"/>
    <w:rsid w:val="00CB7FE5"/>
    <w:rsid w:val="00CD34E1"/>
    <w:rsid w:val="00CD4226"/>
    <w:rsid w:val="00D47002"/>
    <w:rsid w:val="00DA1243"/>
    <w:rsid w:val="00DE0E62"/>
    <w:rsid w:val="00DF6FF4"/>
    <w:rsid w:val="00E17A7D"/>
    <w:rsid w:val="00E2081D"/>
    <w:rsid w:val="00E4606F"/>
    <w:rsid w:val="00E464AE"/>
    <w:rsid w:val="00EA2B90"/>
    <w:rsid w:val="00EB26D3"/>
    <w:rsid w:val="00EC42E3"/>
    <w:rsid w:val="00EC6F00"/>
    <w:rsid w:val="00EF04D2"/>
    <w:rsid w:val="00F04319"/>
    <w:rsid w:val="00F07F56"/>
    <w:rsid w:val="00F651C6"/>
    <w:rsid w:val="00F80012"/>
    <w:rsid w:val="00F86687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0E10E-53A5-4636-B698-D98DCE83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4A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04119"/>
    <w:pPr>
      <w:overflowPunct w:val="0"/>
      <w:autoSpaceDE w:val="0"/>
      <w:autoSpaceDN w:val="0"/>
      <w:adjustRightInd w:val="0"/>
      <w:spacing w:line="360" w:lineRule="atLeas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1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72EC"/>
    <w:pPr>
      <w:ind w:left="720"/>
      <w:contextualSpacing/>
    </w:pPr>
  </w:style>
  <w:style w:type="paragraph" w:styleId="Bezodstpw">
    <w:name w:val="No Spacing"/>
    <w:uiPriority w:val="1"/>
    <w:qFormat/>
    <w:rsid w:val="00035955"/>
    <w:pPr>
      <w:ind w:left="0" w:firstLine="0"/>
    </w:pPr>
    <w:rPr>
      <w:rFonts w:ascii="Calibri" w:eastAsia="Calibri" w:hAnsi="Calibri" w:cs="Times New Roman"/>
    </w:rPr>
  </w:style>
  <w:style w:type="paragraph" w:customStyle="1" w:styleId="Bezformatowania">
    <w:name w:val="Bez formatowania"/>
    <w:rsid w:val="00035955"/>
    <w:pPr>
      <w:suppressAutoHyphens/>
      <w:spacing w:after="200" w:line="276" w:lineRule="auto"/>
      <w:ind w:left="0" w:firstLine="0"/>
    </w:pPr>
    <w:rPr>
      <w:rFonts w:ascii="Calibri" w:eastAsia="Calibri" w:hAnsi="Calibri" w:cs="Calibri"/>
      <w:color w:val="000000"/>
      <w:kern w:val="2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A0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Sasor</dc:creator>
  <cp:lastModifiedBy>Małgorzata Szczepanik</cp:lastModifiedBy>
  <cp:revision>3</cp:revision>
  <cp:lastPrinted>2018-06-04T08:00:00Z</cp:lastPrinted>
  <dcterms:created xsi:type="dcterms:W3CDTF">2018-05-29T13:22:00Z</dcterms:created>
  <dcterms:modified xsi:type="dcterms:W3CDTF">2018-06-04T08:29:00Z</dcterms:modified>
</cp:coreProperties>
</file>