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2B" w:rsidRPr="00396144" w:rsidRDefault="005A3F00" w:rsidP="005A3F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96144">
        <w:rPr>
          <w:rFonts w:ascii="Times New Roman" w:hAnsi="Times New Roman" w:cs="Times New Roman"/>
        </w:rPr>
        <w:t xml:space="preserve">Załącznik nr </w:t>
      </w:r>
      <w:r w:rsidR="006F15A9">
        <w:rPr>
          <w:rFonts w:ascii="Times New Roman" w:hAnsi="Times New Roman" w:cs="Times New Roman"/>
        </w:rPr>
        <w:t>4</w:t>
      </w:r>
      <w:r w:rsidR="0055681D">
        <w:rPr>
          <w:rFonts w:ascii="Times New Roman" w:hAnsi="Times New Roman" w:cs="Times New Roman"/>
        </w:rPr>
        <w:t xml:space="preserve"> do Umowy</w:t>
      </w:r>
    </w:p>
    <w:p w:rsidR="005A3F00" w:rsidRPr="00396144" w:rsidRDefault="005A3F00" w:rsidP="005A3F00">
      <w:pPr>
        <w:pStyle w:val="WzoryTytu2"/>
        <w:jc w:val="right"/>
        <w:rPr>
          <w:rStyle w:val="Bold"/>
          <w:rFonts w:ascii="Times New Roman" w:hAnsi="Times New Roman" w:cs="Times New Roman"/>
          <w:sz w:val="22"/>
          <w:szCs w:val="24"/>
        </w:rPr>
      </w:pPr>
    </w:p>
    <w:p w:rsidR="005A3F00" w:rsidRPr="00396144" w:rsidRDefault="00EC2098" w:rsidP="00396144">
      <w:pPr>
        <w:pStyle w:val="WzoryTytu2"/>
        <w:jc w:val="both"/>
        <w:rPr>
          <w:rStyle w:val="Bold"/>
          <w:rFonts w:ascii="Times New Roman" w:hAnsi="Times New Roman" w:cs="Times New Roman"/>
          <w:b/>
          <w:sz w:val="22"/>
          <w:szCs w:val="24"/>
        </w:rPr>
      </w:pPr>
      <w:r w:rsidRPr="00396144">
        <w:rPr>
          <w:rStyle w:val="Bold"/>
          <w:rFonts w:ascii="Times New Roman" w:hAnsi="Times New Roman" w:cs="Times New Roman"/>
          <w:b/>
          <w:sz w:val="22"/>
          <w:szCs w:val="24"/>
        </w:rPr>
        <w:t>Podział ryzyka między Koncesjodawcą a Koncesjonariuszem</w:t>
      </w:r>
      <w:r w:rsidR="00396144">
        <w:rPr>
          <w:rStyle w:val="Bold"/>
          <w:rFonts w:ascii="Times New Roman" w:hAnsi="Times New Roman" w:cs="Times New Roman"/>
          <w:b/>
          <w:sz w:val="22"/>
          <w:szCs w:val="24"/>
        </w:rPr>
        <w:t>:</w:t>
      </w:r>
    </w:p>
    <w:tbl>
      <w:tblPr>
        <w:tblStyle w:val="Tabela-Siatka"/>
        <w:tblW w:w="14170" w:type="dxa"/>
        <w:jc w:val="center"/>
        <w:tblLook w:val="04A0" w:firstRow="1" w:lastRow="0" w:firstColumn="1" w:lastColumn="0" w:noHBand="0" w:noVBand="1"/>
      </w:tblPr>
      <w:tblGrid>
        <w:gridCol w:w="559"/>
        <w:gridCol w:w="8630"/>
        <w:gridCol w:w="1683"/>
        <w:gridCol w:w="1781"/>
        <w:gridCol w:w="1517"/>
      </w:tblGrid>
      <w:tr w:rsidR="005C3E97" w:rsidTr="005C3E97">
        <w:trPr>
          <w:trHeight w:val="312"/>
          <w:jc w:val="center"/>
        </w:trPr>
        <w:tc>
          <w:tcPr>
            <w:tcW w:w="560" w:type="dxa"/>
            <w:vMerge w:val="restart"/>
            <w:vAlign w:val="center"/>
          </w:tcPr>
          <w:p w:rsidR="005C3E97" w:rsidRPr="005C3E97" w:rsidRDefault="005C3E97" w:rsidP="005C3E97">
            <w:pPr>
              <w:pStyle w:val="WzoryTytu2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5C3E97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8791" w:type="dxa"/>
            <w:vMerge w:val="restart"/>
            <w:vAlign w:val="center"/>
          </w:tcPr>
          <w:p w:rsidR="005C3E97" w:rsidRPr="005C3E97" w:rsidRDefault="005C3E97" w:rsidP="005C3E97">
            <w:pPr>
              <w:pStyle w:val="WzoryTytu2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5C3E97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Ryzyko</w:t>
            </w:r>
          </w:p>
        </w:tc>
        <w:tc>
          <w:tcPr>
            <w:tcW w:w="4819" w:type="dxa"/>
            <w:gridSpan w:val="3"/>
          </w:tcPr>
          <w:p w:rsidR="005C3E97" w:rsidRPr="005C3E97" w:rsidRDefault="005C3E97" w:rsidP="005C3E97">
            <w:pPr>
              <w:pStyle w:val="WzoryTytu2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5C3E97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Alokacja ryzyka</w:t>
            </w:r>
          </w:p>
        </w:tc>
      </w:tr>
      <w:tr w:rsidR="00D35538" w:rsidTr="005C3E97">
        <w:trPr>
          <w:trHeight w:val="324"/>
          <w:jc w:val="center"/>
        </w:trPr>
        <w:tc>
          <w:tcPr>
            <w:tcW w:w="560" w:type="dxa"/>
            <w:vMerge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91" w:type="dxa"/>
            <w:vMerge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09" w:type="dxa"/>
          </w:tcPr>
          <w:p w:rsidR="005C3E97" w:rsidRP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5C3E97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Koncesjodawca</w:t>
            </w:r>
          </w:p>
        </w:tc>
        <w:tc>
          <w:tcPr>
            <w:tcW w:w="1683" w:type="dxa"/>
          </w:tcPr>
          <w:p w:rsidR="005C3E97" w:rsidRP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5C3E97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Koncesjonariusz</w:t>
            </w:r>
          </w:p>
        </w:tc>
        <w:tc>
          <w:tcPr>
            <w:tcW w:w="1527" w:type="dxa"/>
          </w:tcPr>
          <w:p w:rsidR="005C3E97" w:rsidRP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5C3E97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Wspólnie</w:t>
            </w: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1.</w:t>
            </w:r>
          </w:p>
        </w:tc>
        <w:tc>
          <w:tcPr>
            <w:tcW w:w="8791" w:type="dxa"/>
          </w:tcPr>
          <w:p w:rsidR="005C3E97" w:rsidRDefault="00FC77D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Terminowe</w:t>
            </w:r>
            <w:r w:rsid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go</w:t>
            </w: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u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ruchomieni</w:t>
            </w:r>
            <w:r w:rsid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a </w:t>
            </w: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usługi</w:t>
            </w:r>
          </w:p>
          <w:p w:rsidR="00FC17CC" w:rsidRPr="00FC17CC" w:rsidRDefault="00FC17CC" w:rsidP="00FC17CC">
            <w:pPr>
              <w:pStyle w:val="WzoryTytu2"/>
              <w:jc w:val="left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Opóźnienia uruchomienia usługi, zgodnie z § 2 Umowy, polegające na udostępnieniu minimum 300 pojazdów w systemie carsharingu. 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Pr="00FC17CC" w:rsidRDefault="00FC17CC" w:rsidP="00FC17CC">
            <w:pPr>
              <w:pStyle w:val="WzoryTytu2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2.</w:t>
            </w:r>
          </w:p>
        </w:tc>
        <w:tc>
          <w:tcPr>
            <w:tcW w:w="8791" w:type="dxa"/>
          </w:tcPr>
          <w:p w:rsidR="005C3E97" w:rsidRDefault="00FC17C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Finansowania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uruchomienia</w:t>
            </w: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usługi</w:t>
            </w:r>
          </w:p>
          <w:p w:rsidR="00FC17CC" w:rsidRPr="00FC17CC" w:rsidRDefault="00FC17C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Braku środków finansowych na pokrycie wszystkich zobowiązań koniecznych do uruchomienia usługi, w szczególności: zakupu pojazdów, przygotowania narzędzi informatycznych i zatrudnienia pracowników.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Default="00FC17CC" w:rsidP="00FC17CC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17CC" w:rsidTr="00FC17CC">
        <w:trPr>
          <w:jc w:val="center"/>
        </w:trPr>
        <w:tc>
          <w:tcPr>
            <w:tcW w:w="560" w:type="dxa"/>
          </w:tcPr>
          <w:p w:rsidR="00FC17CC" w:rsidRPr="00FC77DC" w:rsidRDefault="00FC17C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3.</w:t>
            </w:r>
          </w:p>
        </w:tc>
        <w:tc>
          <w:tcPr>
            <w:tcW w:w="8791" w:type="dxa"/>
          </w:tcPr>
          <w:p w:rsidR="00FC17CC" w:rsidRDefault="00FC17C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Finansowania funkcjonowania usługi</w:t>
            </w:r>
          </w:p>
          <w:p w:rsidR="00FC17CC" w:rsidRPr="00FC17CC" w:rsidRDefault="00FC17CC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Braku środków finansowych na pokrycie wszystkich zobowiąza</w:t>
            </w:r>
            <w:r w:rsidR="00DA0F39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ń koniecznych do utrzymania i funkcjonowania usługi zgodnie z Umową. </w:t>
            </w:r>
          </w:p>
        </w:tc>
        <w:tc>
          <w:tcPr>
            <w:tcW w:w="1609" w:type="dxa"/>
            <w:vAlign w:val="center"/>
          </w:tcPr>
          <w:p w:rsidR="00FC17CC" w:rsidRDefault="00FC17C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C17CC" w:rsidRDefault="00DA0F39" w:rsidP="00DA0F39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FC17CC" w:rsidRDefault="00FC17C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8791" w:type="dxa"/>
          </w:tcPr>
          <w:p w:rsidR="00FC17CC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Popyt</w:t>
            </w:r>
            <w:r w:rsid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u na usługi</w:t>
            </w:r>
          </w:p>
          <w:p w:rsidR="00FC17CC" w:rsidRPr="00FC17CC" w:rsidRDefault="00DA0F39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Mniejszego niż zakładano w trakcie kalkulacji i w momencie złożenia oferty przez Koncesjonariusza poziomu korzystania przez klientów z usługi. 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Default="00DA0F39" w:rsidP="00DA0F39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5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8791" w:type="dxa"/>
          </w:tcPr>
          <w:p w:rsidR="00DA0F39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Konkurenc</w:t>
            </w:r>
            <w:r w:rsidR="00DA0F39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ji i substytutów</w:t>
            </w:r>
          </w:p>
          <w:p w:rsidR="00DA0F39" w:rsidRPr="00DA0F39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Działania na rynku usług stanowiących konkurencję lub substytut dla usługi będącej Przedmiotem koncesji, w szczególności innych podmiotów świadczących usługi carsharingu i bikesharingu. 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Default="00DA0F39" w:rsidP="00DA0F39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8791" w:type="dxa"/>
          </w:tcPr>
          <w:p w:rsidR="00FC77DC" w:rsidRDefault="00FA2E6A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Dostępnoś</w:t>
            </w:r>
            <w:r w:rsidR="00DA0F39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ci</w:t>
            </w:r>
            <w:r w:rsidR="008A2B06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usługi</w:t>
            </w:r>
          </w:p>
          <w:p w:rsidR="00DA0F39" w:rsidRPr="00DA0F39" w:rsidRDefault="00DA0F39" w:rsidP="008A2B06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Zapewnienia poziomu dostępności floty pojazdów systemu carsharingu</w:t>
            </w:r>
            <w:r w:rsidR="008A2B06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 zgodnego z § 4 Umowy,</w:t>
            </w: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 stałego funkcjonowania narzędzi informatycznych niezbędnych do korzystania z usługi, </w:t>
            </w:r>
            <w:r w:rsidR="008A2B06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funkcjonowania BOK oraz wszystkich innych czynników mających wpływ na poziom dostępności usługi (z wyłączeniem Siły Wyższej). 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Default="008A2B06" w:rsidP="008A2B06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FC77DC" w:rsidRPr="00FC77DC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7</w:t>
            </w:r>
            <w:r w:rsid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8791" w:type="dxa"/>
          </w:tcPr>
          <w:p w:rsidR="008A2B06" w:rsidRDefault="00FC77DC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Jakoś</w:t>
            </w:r>
            <w:r w:rsidR="00DA0F39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ci</w:t>
            </w:r>
            <w:r w:rsidR="008A2B06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usługi</w:t>
            </w:r>
          </w:p>
          <w:p w:rsidR="008A2B06" w:rsidRPr="008A2B06" w:rsidRDefault="00D35538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Stałego zapewnienia usług co najmniej na poziomie opi</w:t>
            </w:r>
            <w:r w:rsidR="004D3C26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sanym w § 4 Umowy.</w:t>
            </w:r>
          </w:p>
        </w:tc>
        <w:tc>
          <w:tcPr>
            <w:tcW w:w="1609" w:type="dxa"/>
            <w:vAlign w:val="center"/>
          </w:tcPr>
          <w:p w:rsidR="00FC77DC" w:rsidRDefault="00FC77D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C77DC" w:rsidRDefault="004D3C26" w:rsidP="004D3C26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1527" w:type="dxa"/>
            <w:vAlign w:val="center"/>
          </w:tcPr>
          <w:p w:rsidR="00FC77DC" w:rsidRDefault="00FC77DC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8</w:t>
            </w:r>
            <w:r w:rsid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8791" w:type="dxa"/>
          </w:tcPr>
          <w:p w:rsidR="00FA2E6A" w:rsidRDefault="00D35538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Zmiennych k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oszt</w:t>
            </w:r>
            <w:r w:rsidR="00DA0F39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ów</w:t>
            </w:r>
            <w:r w:rsidR="00FA2E6A"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funkcjonowania</w:t>
            </w: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 xml:space="preserve"> usługi</w:t>
            </w:r>
          </w:p>
          <w:p w:rsidR="004D3C26" w:rsidRPr="004D3C26" w:rsidRDefault="004D3C26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Zmian w trakcie świadczenia usługi czynników wpływających na koszt zapewnienia dostępności usługi, w szczególności cen paliwa i pozostałych kosztów utrzymania pojazdów, kosztów utrzymania pracowników, kosztów utrzymania BOK oraz kosztów funkcjonowania narzędzi informatycznych.  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Default="005C3E97" w:rsidP="004D3C26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5C3E97" w:rsidRDefault="004D3C26" w:rsidP="004D3C26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</w:tr>
      <w:tr w:rsidR="00FC77DC" w:rsidTr="00FC17CC">
        <w:trPr>
          <w:jc w:val="center"/>
        </w:trPr>
        <w:tc>
          <w:tcPr>
            <w:tcW w:w="560" w:type="dxa"/>
          </w:tcPr>
          <w:p w:rsidR="005C3E97" w:rsidRPr="00FC77DC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9</w:t>
            </w:r>
          </w:p>
        </w:tc>
        <w:tc>
          <w:tcPr>
            <w:tcW w:w="8791" w:type="dxa"/>
          </w:tcPr>
          <w:p w:rsidR="005C3E97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Zmiany prawa</w:t>
            </w:r>
          </w:p>
          <w:p w:rsidR="004D3C26" w:rsidRPr="004D3C26" w:rsidRDefault="004D3C26" w:rsidP="009009A7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Zmian w przepisach prawnych mających istotny wpływ na funkcjonowanie usługi, w szczególności: zakazu wjazdu pojazdów spalinowych lub pojazdów mechanicznych w o</w:t>
            </w:r>
            <w:r w:rsidR="0055681D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góle do centrum m. st. Warszawy</w:t>
            </w: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, zniesienia opłat za parkowanie w SPPN</w:t>
            </w:r>
            <w:r w:rsidR="009009A7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 oraz wszystkich innych zmian prawnych czyniącym funkcjonowania usługi niemożliwym lub niezasadnym ekonomicznie. </w:t>
            </w:r>
          </w:p>
        </w:tc>
        <w:tc>
          <w:tcPr>
            <w:tcW w:w="1609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C3E97" w:rsidRDefault="005C3E9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5C3E97" w:rsidRDefault="009009A7" w:rsidP="009009A7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</w:tr>
      <w:tr w:rsidR="00DA0F39" w:rsidTr="00FC17CC">
        <w:trPr>
          <w:jc w:val="center"/>
        </w:trPr>
        <w:tc>
          <w:tcPr>
            <w:tcW w:w="560" w:type="dxa"/>
          </w:tcPr>
          <w:p w:rsidR="00DA0F39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10.</w:t>
            </w:r>
          </w:p>
        </w:tc>
        <w:tc>
          <w:tcPr>
            <w:tcW w:w="8791" w:type="dxa"/>
          </w:tcPr>
          <w:p w:rsidR="009009A7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Protestów społecznych</w:t>
            </w:r>
          </w:p>
          <w:p w:rsidR="009009A7" w:rsidRPr="009009A7" w:rsidRDefault="009009A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Dodatkowych kosztów funkcjonowania usługi, zmniejszenia dostępności usługi, negatywnych zmian wizerunkowych związanych z prowadzeniem usługi, itp., występujących na skutek protestów społecznych. </w:t>
            </w:r>
          </w:p>
        </w:tc>
        <w:tc>
          <w:tcPr>
            <w:tcW w:w="1609" w:type="dxa"/>
            <w:vAlign w:val="center"/>
          </w:tcPr>
          <w:p w:rsidR="00DA0F39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A0F39" w:rsidRDefault="00DA0F39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DA0F39" w:rsidRDefault="009009A7" w:rsidP="009009A7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</w:tr>
      <w:tr w:rsidR="00FA2E6A" w:rsidTr="00FC17CC">
        <w:trPr>
          <w:jc w:val="center"/>
        </w:trPr>
        <w:tc>
          <w:tcPr>
            <w:tcW w:w="560" w:type="dxa"/>
          </w:tcPr>
          <w:p w:rsidR="00FA2E6A" w:rsidRPr="00FC77DC" w:rsidRDefault="00DA0F39" w:rsidP="00DA0F39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11</w:t>
            </w:r>
            <w:r w:rsid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8791" w:type="dxa"/>
          </w:tcPr>
          <w:p w:rsidR="00FA2E6A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</w:pPr>
            <w:r w:rsidRPr="00FC77D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S</w:t>
            </w:r>
            <w:r w:rsidR="00DA0F39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iły Wyższej</w:t>
            </w:r>
          </w:p>
          <w:p w:rsidR="009009A7" w:rsidRPr="009009A7" w:rsidRDefault="009009A7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9009A7"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>Działania</w:t>
            </w:r>
            <w:r>
              <w:rPr>
                <w:rStyle w:val="Bold"/>
                <w:rFonts w:ascii="Times New Roman" w:hAnsi="Times New Roman" w:cs="Times New Roman"/>
                <w:sz w:val="22"/>
                <w:szCs w:val="24"/>
              </w:rPr>
              <w:t xml:space="preserve"> wyjątkowych okoliczności lub wydarzeń, na które nie miała wpływu żadna ze Stron, w tym okresowe występowania wyjątkowo niekorzystnych warunków atmosferycznych uniemożliwiających zapewnienie dostępności usługi na poziomie opisanym w § 4 Umowy.</w:t>
            </w:r>
          </w:p>
        </w:tc>
        <w:tc>
          <w:tcPr>
            <w:tcW w:w="1609" w:type="dxa"/>
            <w:vAlign w:val="center"/>
          </w:tcPr>
          <w:p w:rsidR="00FA2E6A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A2E6A" w:rsidRDefault="00FA2E6A" w:rsidP="00FC1390">
            <w:pPr>
              <w:pStyle w:val="WzoryTytu2"/>
              <w:jc w:val="both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FA2E6A" w:rsidRDefault="009009A7" w:rsidP="009009A7">
            <w:pPr>
              <w:pStyle w:val="WzoryTytu2"/>
              <w:rPr>
                <w:rStyle w:val="Bold"/>
                <w:rFonts w:ascii="Times New Roman" w:hAnsi="Times New Roman" w:cs="Times New Roman"/>
                <w:sz w:val="22"/>
                <w:szCs w:val="24"/>
              </w:rPr>
            </w:pPr>
            <w:r w:rsidRPr="00FC17CC">
              <w:rPr>
                <w:rStyle w:val="Bold"/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</w:tr>
    </w:tbl>
    <w:p w:rsidR="00EC2098" w:rsidRPr="00396144" w:rsidRDefault="00EC2098" w:rsidP="00FC1390">
      <w:pPr>
        <w:pStyle w:val="WzoryTytu2"/>
        <w:jc w:val="both"/>
        <w:rPr>
          <w:rStyle w:val="Bold"/>
          <w:rFonts w:ascii="Times New Roman" w:hAnsi="Times New Roman" w:cs="Times New Roman"/>
          <w:sz w:val="22"/>
          <w:szCs w:val="24"/>
        </w:rPr>
      </w:pPr>
    </w:p>
    <w:p w:rsidR="00EC2098" w:rsidRPr="00396144" w:rsidRDefault="00EC2098" w:rsidP="00EC2098">
      <w:pPr>
        <w:pStyle w:val="WzoryTytu2"/>
        <w:jc w:val="both"/>
        <w:rPr>
          <w:rStyle w:val="Bold"/>
          <w:rFonts w:ascii="Times New Roman" w:hAnsi="Times New Roman" w:cs="Times New Roman"/>
          <w:sz w:val="22"/>
          <w:szCs w:val="24"/>
        </w:rPr>
      </w:pPr>
    </w:p>
    <w:p w:rsidR="005A3F00" w:rsidRPr="00396144" w:rsidRDefault="005A3F00" w:rsidP="005A3F00">
      <w:pPr>
        <w:jc w:val="right"/>
        <w:rPr>
          <w:rFonts w:ascii="Times New Roman" w:hAnsi="Times New Roman" w:cs="Times New Roman"/>
        </w:rPr>
      </w:pPr>
    </w:p>
    <w:sectPr w:rsidR="005A3F00" w:rsidRPr="00396144" w:rsidSect="005C3E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3"/>
    <w:rsid w:val="001C022B"/>
    <w:rsid w:val="001E7743"/>
    <w:rsid w:val="002F061E"/>
    <w:rsid w:val="00396144"/>
    <w:rsid w:val="003E4F8E"/>
    <w:rsid w:val="004D3C26"/>
    <w:rsid w:val="0055681D"/>
    <w:rsid w:val="005A3F00"/>
    <w:rsid w:val="005C3E97"/>
    <w:rsid w:val="006F15A9"/>
    <w:rsid w:val="006F31DC"/>
    <w:rsid w:val="0075407D"/>
    <w:rsid w:val="00844563"/>
    <w:rsid w:val="008A2B06"/>
    <w:rsid w:val="009009A7"/>
    <w:rsid w:val="00A52B34"/>
    <w:rsid w:val="00AD0330"/>
    <w:rsid w:val="00BC2958"/>
    <w:rsid w:val="00D35538"/>
    <w:rsid w:val="00DA0F39"/>
    <w:rsid w:val="00EC2098"/>
    <w:rsid w:val="00FA2E6A"/>
    <w:rsid w:val="00FC1390"/>
    <w:rsid w:val="00FC17CC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2DB0-4A38-4822-941A-BAEBBE40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2">
    <w:name w:val="Wzory Tytuł 2"/>
    <w:basedOn w:val="Normalny"/>
    <w:uiPriority w:val="99"/>
    <w:rsid w:val="005A3F00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5A3F00"/>
    <w:rPr>
      <w:b/>
    </w:rPr>
  </w:style>
  <w:style w:type="table" w:styleId="Tabela-Siatka">
    <w:name w:val="Table Grid"/>
    <w:basedOn w:val="Standardowy"/>
    <w:uiPriority w:val="39"/>
    <w:rsid w:val="0039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Monika Suchecka</cp:lastModifiedBy>
  <cp:revision>2</cp:revision>
  <dcterms:created xsi:type="dcterms:W3CDTF">2018-07-20T06:47:00Z</dcterms:created>
  <dcterms:modified xsi:type="dcterms:W3CDTF">2018-07-20T06:47:00Z</dcterms:modified>
</cp:coreProperties>
</file>