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24" w:rsidRDefault="00135724" w:rsidP="000E257A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OPIS PRZEDMIOTU ZAMÓWIENIA</w:t>
      </w:r>
    </w:p>
    <w:p w:rsidR="000E257A" w:rsidRDefault="009044AB" w:rsidP="000E257A">
      <w:pPr>
        <w:pStyle w:val="Tekstpodstawowy"/>
        <w:rPr>
          <w:rFonts w:ascii="Tahoma" w:hAnsi="Tahoma" w:cs="Tahoma"/>
          <w:sz w:val="24"/>
          <w:szCs w:val="24"/>
        </w:rPr>
      </w:pPr>
      <w:r w:rsidRPr="00C16950">
        <w:rPr>
          <w:rFonts w:ascii="Tahoma" w:hAnsi="Tahoma" w:cs="Tahoma"/>
          <w:sz w:val="24"/>
          <w:szCs w:val="24"/>
        </w:rPr>
        <w:t xml:space="preserve"> SPECYFIKACJA</w:t>
      </w:r>
      <w:r w:rsidR="000E257A">
        <w:rPr>
          <w:rFonts w:ascii="Tahoma" w:hAnsi="Tahoma" w:cs="Tahoma"/>
          <w:sz w:val="24"/>
          <w:szCs w:val="24"/>
        </w:rPr>
        <w:t xml:space="preserve"> TECHNICZNA</w:t>
      </w:r>
      <w:bookmarkStart w:id="0" w:name="_GoBack"/>
      <w:bookmarkEnd w:id="0"/>
    </w:p>
    <w:p w:rsidR="00A469BA" w:rsidRPr="000E257A" w:rsidRDefault="009044AB" w:rsidP="000E257A">
      <w:pPr>
        <w:pStyle w:val="Tekstpodstawowy"/>
        <w:rPr>
          <w:rFonts w:ascii="Arial" w:hAnsi="Arial" w:cs="Arial"/>
          <w:b w:val="0"/>
          <w:i/>
          <w:sz w:val="22"/>
          <w:szCs w:val="22"/>
        </w:rPr>
      </w:pPr>
      <w:r w:rsidRPr="00C16950">
        <w:rPr>
          <w:rFonts w:ascii="Tahoma" w:hAnsi="Tahoma" w:cs="Tahoma"/>
          <w:sz w:val="24"/>
          <w:szCs w:val="24"/>
        </w:rPr>
        <w:t xml:space="preserve"> </w:t>
      </w:r>
      <w:r w:rsidR="000507D6" w:rsidRPr="000507D6">
        <w:rPr>
          <w:rFonts w:ascii="Arial" w:hAnsi="Arial" w:cs="Arial"/>
          <w:i/>
          <w:sz w:val="22"/>
          <w:szCs w:val="22"/>
        </w:rPr>
        <w:t>Projekt p</w:t>
      </w:r>
      <w:r w:rsidR="000E257A" w:rsidRPr="00782190">
        <w:rPr>
          <w:rFonts w:ascii="Arial" w:hAnsi="Arial" w:cs="Arial"/>
          <w:i/>
          <w:sz w:val="22"/>
          <w:szCs w:val="22"/>
        </w:rPr>
        <w:t>rzebudow</w:t>
      </w:r>
      <w:r w:rsidR="000507D6">
        <w:rPr>
          <w:rFonts w:ascii="Arial" w:hAnsi="Arial" w:cs="Arial"/>
          <w:i/>
          <w:sz w:val="22"/>
          <w:szCs w:val="22"/>
        </w:rPr>
        <w:t>y</w:t>
      </w:r>
      <w:r w:rsidR="000E257A" w:rsidRPr="00782190">
        <w:rPr>
          <w:rFonts w:ascii="Arial" w:hAnsi="Arial" w:cs="Arial"/>
          <w:i/>
          <w:sz w:val="22"/>
          <w:szCs w:val="22"/>
        </w:rPr>
        <w:t xml:space="preserve"> punktów dystrybucyjnych OS do pasa drogowego</w:t>
      </w:r>
      <w:r w:rsidR="00A469BA">
        <w:rPr>
          <w:rFonts w:ascii="Arial" w:hAnsi="Arial" w:cs="Arial"/>
          <w:sz w:val="22"/>
          <w:szCs w:val="22"/>
        </w:rPr>
        <w:t xml:space="preserve"> dla następujących ulic:</w:t>
      </w:r>
    </w:p>
    <w:p w:rsidR="00F308E0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OS-1203 ul. Modlińska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OS-54 ul. Kasprowicza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OS-273 ul. Wrzeciono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OS-478 ul. Kasprowicza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OS-57 ul. Inspektowa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OS-222 ul. Gotarda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OS-660/776 ul. Wałbrzyska</w:t>
      </w:r>
    </w:p>
    <w:p w:rsidR="008376A5" w:rsidRPr="008376A5" w:rsidRDefault="000E2B30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OS-1150</w:t>
      </w:r>
      <w:r w:rsidR="008376A5" w:rsidRPr="008376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Al. Stanów Zjednoczonych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OS-1146 ul. Ostrobramska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OS-1019 ul. Strzelecka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OS-102</w:t>
      </w:r>
      <w:r w:rsidR="00C95092">
        <w:rPr>
          <w:rFonts w:ascii="Tahoma" w:hAnsi="Tahoma" w:cs="Tahoma"/>
        </w:rPr>
        <w:t>0</w:t>
      </w:r>
      <w:r w:rsidRPr="008376A5">
        <w:rPr>
          <w:rFonts w:ascii="Tahoma" w:hAnsi="Tahoma" w:cs="Tahoma"/>
        </w:rPr>
        <w:t xml:space="preserve"> ul. Jagiellońska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OS-150 ul. Żurawia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OS-359 ul. Nowowiejska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OS-384 ul. Hoża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OS-1013 ul. Radzymińska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OS-1024 ul. Smoleńska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OS-1084 ul. Radzymińska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OS-43/44 ul. Puławska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OS-118 ul. Przy Bażantarni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OS-788 ul. Herbsta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OS-1234 ul. Żegańska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OS-1377 ul. Rozkoszna</w:t>
      </w:r>
    </w:p>
    <w:p w:rsidR="008376A5" w:rsidRPr="008376A5" w:rsidRDefault="008376A5" w:rsidP="008376A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8376A5">
        <w:rPr>
          <w:rFonts w:ascii="Tahoma" w:hAnsi="Tahoma" w:cs="Tahoma"/>
        </w:rPr>
        <w:t>OS-9 ul. Popiełuszki</w:t>
      </w:r>
    </w:p>
    <w:p w:rsidR="00616078" w:rsidRDefault="00616078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616078">
        <w:rPr>
          <w:rFonts w:ascii="Tahoma" w:hAnsi="Tahoma" w:cs="Tahoma"/>
        </w:rPr>
        <w:t>Dokumentacja projektowa powinna</w:t>
      </w:r>
      <w:r w:rsidRPr="00616078">
        <w:rPr>
          <w:rFonts w:ascii="Arial" w:hAnsi="Arial" w:cs="Arial"/>
          <w:sz w:val="22"/>
          <w:szCs w:val="22"/>
        </w:rPr>
        <w:t xml:space="preserve"> </w:t>
      </w:r>
      <w:r w:rsidRPr="00616078">
        <w:rPr>
          <w:rFonts w:ascii="Tahoma" w:hAnsi="Tahoma" w:cs="Tahoma"/>
        </w:rPr>
        <w:t>zawierać lokalizację wszystkich urządzeń oświetlenia ulicznego na działkach, dla których m st. Warszawa jest (będzie) właścicielem (władającym)</w:t>
      </w:r>
      <w:r>
        <w:rPr>
          <w:rFonts w:ascii="Tahoma" w:hAnsi="Tahoma" w:cs="Tahoma"/>
        </w:rPr>
        <w:t xml:space="preserve"> lub w trwałym zarządzie</w:t>
      </w:r>
      <w:r w:rsidRPr="00616078">
        <w:rPr>
          <w:rFonts w:ascii="Tahoma" w:hAnsi="Tahoma" w:cs="Tahoma"/>
        </w:rPr>
        <w:t>,</w:t>
      </w:r>
    </w:p>
    <w:p w:rsidR="009044AB" w:rsidRPr="00616078" w:rsidRDefault="009044AB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616078">
        <w:rPr>
          <w:rFonts w:ascii="Tahoma" w:hAnsi="Tahoma" w:cs="Tahoma"/>
        </w:rPr>
        <w:t>Dokumentacja projektowa winna składać się z:</w:t>
      </w:r>
    </w:p>
    <w:p w:rsidR="009044AB" w:rsidRPr="008675DD" w:rsidRDefault="009044AB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Projektu budowlano – wykonawczego,</w:t>
      </w:r>
    </w:p>
    <w:p w:rsidR="009044AB" w:rsidRPr="008675DD" w:rsidRDefault="009044AB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Przedmiaru robót,</w:t>
      </w:r>
    </w:p>
    <w:p w:rsidR="00880E8C" w:rsidRPr="008675DD" w:rsidRDefault="00880E8C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Szczegółow</w:t>
      </w:r>
      <w:r w:rsidR="00932AF6" w:rsidRPr="008675DD">
        <w:rPr>
          <w:rFonts w:ascii="Tahoma" w:hAnsi="Tahoma" w:cs="Tahoma"/>
        </w:rPr>
        <w:t>ej</w:t>
      </w:r>
      <w:r w:rsidRPr="008675DD">
        <w:rPr>
          <w:rFonts w:ascii="Tahoma" w:hAnsi="Tahoma" w:cs="Tahoma"/>
        </w:rPr>
        <w:t xml:space="preserve"> Specyfikacj</w:t>
      </w:r>
      <w:r w:rsidR="00932AF6" w:rsidRPr="008675DD">
        <w:rPr>
          <w:rFonts w:ascii="Tahoma" w:hAnsi="Tahoma" w:cs="Tahoma"/>
        </w:rPr>
        <w:t>i</w:t>
      </w:r>
      <w:r w:rsidRPr="008675DD">
        <w:rPr>
          <w:rFonts w:ascii="Tahoma" w:hAnsi="Tahoma" w:cs="Tahoma"/>
        </w:rPr>
        <w:t xml:space="preserve"> Techniczn</w:t>
      </w:r>
      <w:r w:rsidR="00932AF6" w:rsidRPr="008675DD">
        <w:rPr>
          <w:rFonts w:ascii="Tahoma" w:hAnsi="Tahoma" w:cs="Tahoma"/>
        </w:rPr>
        <w:t>ej</w:t>
      </w:r>
      <w:r w:rsidRPr="008675DD">
        <w:rPr>
          <w:rFonts w:ascii="Tahoma" w:hAnsi="Tahoma" w:cs="Tahoma"/>
        </w:rPr>
        <w:t xml:space="preserve"> Wykonania i Odbioru Robót,</w:t>
      </w:r>
    </w:p>
    <w:p w:rsidR="009044AB" w:rsidRPr="008675DD" w:rsidRDefault="009044AB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Kosztorysu inwestorskiego,</w:t>
      </w:r>
    </w:p>
    <w:p w:rsidR="009044AB" w:rsidRPr="008675DD" w:rsidRDefault="009044AB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Informacji dotyczącej bezpieczeństwa i ochrony zdrowia, gdy konieczność jej opracowania wynika z odrębnych przepisów.</w:t>
      </w:r>
    </w:p>
    <w:p w:rsidR="009044AB" w:rsidRPr="008675DD" w:rsidRDefault="009044AB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Dokumentację należy sporządzić zgodnie z aktualnymi przepisami. Na dzień </w:t>
      </w:r>
      <w:r w:rsidR="00A45B05" w:rsidRPr="008675DD">
        <w:rPr>
          <w:rFonts w:ascii="Tahoma" w:hAnsi="Tahoma" w:cs="Tahoma"/>
        </w:rPr>
        <w:t>01</w:t>
      </w:r>
      <w:r w:rsidRPr="008675DD">
        <w:rPr>
          <w:rFonts w:ascii="Tahoma" w:hAnsi="Tahoma" w:cs="Tahoma"/>
        </w:rPr>
        <w:t>.</w:t>
      </w:r>
      <w:r w:rsidR="00E836BD">
        <w:rPr>
          <w:rFonts w:ascii="Tahoma" w:hAnsi="Tahoma" w:cs="Tahoma"/>
        </w:rPr>
        <w:t>02</w:t>
      </w:r>
      <w:r w:rsidRPr="008675DD">
        <w:rPr>
          <w:rFonts w:ascii="Tahoma" w:hAnsi="Tahoma" w:cs="Tahoma"/>
        </w:rPr>
        <w:t>.20</w:t>
      </w:r>
      <w:r w:rsidR="00E836BD">
        <w:rPr>
          <w:rFonts w:ascii="Tahoma" w:hAnsi="Tahoma" w:cs="Tahoma"/>
        </w:rPr>
        <w:t>14</w:t>
      </w:r>
      <w:r w:rsidRPr="008675DD">
        <w:rPr>
          <w:rFonts w:ascii="Tahoma" w:hAnsi="Tahoma" w:cs="Tahoma"/>
        </w:rPr>
        <w:t xml:space="preserve"> Zamawiający uważa za aktualne:</w:t>
      </w:r>
    </w:p>
    <w:p w:rsidR="009044AB" w:rsidRPr="002718CF" w:rsidRDefault="004A2CA1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r w:rsidRPr="008138B3">
        <w:rPr>
          <w:rFonts w:ascii="Tahoma" w:hAnsi="Tahoma" w:cs="Tahoma"/>
        </w:rPr>
        <w:t>Ustawę z dnia 07</w:t>
      </w:r>
      <w:r w:rsidRPr="002718CF">
        <w:rPr>
          <w:rFonts w:ascii="Tahoma" w:hAnsi="Tahoma" w:cs="Tahoma"/>
        </w:rPr>
        <w:t xml:space="preserve">.07.1994 - „Prawo budowlane”( Dz.U. 2018 </w:t>
      </w:r>
      <w:proofErr w:type="gramStart"/>
      <w:r w:rsidRPr="002718CF">
        <w:rPr>
          <w:rFonts w:ascii="Tahoma" w:hAnsi="Tahoma" w:cs="Tahoma"/>
        </w:rPr>
        <w:t>poz</w:t>
      </w:r>
      <w:proofErr w:type="gramEnd"/>
      <w:r w:rsidRPr="002718CF">
        <w:rPr>
          <w:rFonts w:ascii="Tahoma" w:hAnsi="Tahoma" w:cs="Tahoma"/>
        </w:rPr>
        <w:t>. 1202</w:t>
      </w:r>
      <w:r w:rsidR="001E31BD" w:rsidRPr="002718CF">
        <w:rPr>
          <w:rFonts w:ascii="Tahoma" w:hAnsi="Tahoma" w:cs="Tahoma"/>
        </w:rPr>
        <w:t>z późniejszymi zmianami</w:t>
      </w:r>
      <w:r w:rsidR="009044AB" w:rsidRPr="002718CF">
        <w:rPr>
          <w:rFonts w:ascii="Tahoma" w:hAnsi="Tahoma" w:cs="Tahoma"/>
        </w:rPr>
        <w:t>),</w:t>
      </w:r>
    </w:p>
    <w:p w:rsidR="009044AB" w:rsidRPr="002718CF" w:rsidRDefault="009044AB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r w:rsidRPr="002718CF">
        <w:rPr>
          <w:rFonts w:ascii="Tahoma" w:hAnsi="Tahoma" w:cs="Tahoma"/>
        </w:rPr>
        <w:t xml:space="preserve">Rozporządzenie Ministra Infrastruktury z dn. </w:t>
      </w:r>
      <w:r w:rsidR="00E836BD" w:rsidRPr="002718CF">
        <w:rPr>
          <w:rFonts w:ascii="Tahoma" w:hAnsi="Tahoma" w:cs="Tahoma"/>
        </w:rPr>
        <w:t>0</w:t>
      </w:r>
      <w:r w:rsidRPr="002718CF">
        <w:rPr>
          <w:rFonts w:ascii="Tahoma" w:hAnsi="Tahoma" w:cs="Tahoma"/>
        </w:rPr>
        <w:t>2.09.2004 r. „W sprawie szczegółowego zakresu i formy dokumentacji projektowej, specyfikacji technicznych wykonania i odbioru robót budowlanych oraz programu funkcjonalno-użytkowego” (Dz. U. 20</w:t>
      </w:r>
      <w:r w:rsidR="00E836BD" w:rsidRPr="002718CF">
        <w:rPr>
          <w:rFonts w:ascii="Tahoma" w:hAnsi="Tahoma" w:cs="Tahoma"/>
        </w:rPr>
        <w:t>13,</w:t>
      </w:r>
      <w:r w:rsidRPr="002718CF">
        <w:rPr>
          <w:rFonts w:ascii="Tahoma" w:hAnsi="Tahoma" w:cs="Tahoma"/>
        </w:rPr>
        <w:t xml:space="preserve">  </w:t>
      </w:r>
      <w:proofErr w:type="gramStart"/>
      <w:r w:rsidRPr="002718CF">
        <w:rPr>
          <w:rFonts w:ascii="Tahoma" w:hAnsi="Tahoma" w:cs="Tahoma"/>
        </w:rPr>
        <w:t>poz</w:t>
      </w:r>
      <w:proofErr w:type="gramEnd"/>
      <w:r w:rsidRPr="002718CF">
        <w:rPr>
          <w:rFonts w:ascii="Tahoma" w:hAnsi="Tahoma" w:cs="Tahoma"/>
        </w:rPr>
        <w:t xml:space="preserve">. </w:t>
      </w:r>
      <w:r w:rsidR="00E836BD" w:rsidRPr="002718CF">
        <w:rPr>
          <w:rFonts w:ascii="Tahoma" w:hAnsi="Tahoma" w:cs="Tahoma"/>
        </w:rPr>
        <w:t>1129</w:t>
      </w:r>
      <w:r w:rsidR="00EC710F" w:rsidRPr="002718CF">
        <w:rPr>
          <w:rFonts w:ascii="Tahoma" w:hAnsi="Tahoma" w:cs="Tahoma"/>
        </w:rPr>
        <w:t xml:space="preserve"> j.t.</w:t>
      </w:r>
      <w:r w:rsidRPr="002718CF">
        <w:rPr>
          <w:rFonts w:ascii="Tahoma" w:hAnsi="Tahoma" w:cs="Tahoma"/>
        </w:rPr>
        <w:t xml:space="preserve">). </w:t>
      </w:r>
    </w:p>
    <w:p w:rsidR="00A45B05" w:rsidRPr="008675DD" w:rsidRDefault="00A45B05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Norma dotycząca oświetlenia dróg PN-EN 13201.</w:t>
      </w:r>
    </w:p>
    <w:p w:rsidR="009044AB" w:rsidRPr="008675DD" w:rsidRDefault="009044AB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Dokumentacja projektowa powinna być złożona w pięciu egzemplarzach oraz w formie elektronicznej na nośniku CD-R lub CD-RW.</w:t>
      </w:r>
    </w:p>
    <w:p w:rsidR="000D0813" w:rsidRPr="008675DD" w:rsidRDefault="000D0813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Szczegóły dotyczące projektu (rozwiązania techniczne, materiały) na</w:t>
      </w:r>
      <w:r w:rsidR="003C7460" w:rsidRPr="008675DD">
        <w:rPr>
          <w:rFonts w:ascii="Tahoma" w:hAnsi="Tahoma" w:cs="Tahoma"/>
        </w:rPr>
        <w:t xml:space="preserve">leży konsultować z zamawiającym na etapie koncepcji, przed uzyskaniem akceptacji w jednostkach określonych w punkcie </w:t>
      </w:r>
      <w:r w:rsidR="00E1303D" w:rsidRPr="008675DD">
        <w:rPr>
          <w:rFonts w:ascii="Tahoma" w:hAnsi="Tahoma" w:cs="Tahoma"/>
        </w:rPr>
        <w:t xml:space="preserve">7, 8 i </w:t>
      </w:r>
      <w:r w:rsidR="000507D6" w:rsidRPr="000507D6">
        <w:rPr>
          <w:rFonts w:ascii="Tahoma" w:hAnsi="Tahoma" w:cs="Tahoma"/>
        </w:rPr>
        <w:t>11</w:t>
      </w:r>
      <w:r w:rsidR="003C7460" w:rsidRPr="008675DD">
        <w:rPr>
          <w:rFonts w:ascii="Tahoma" w:hAnsi="Tahoma" w:cs="Tahoma"/>
        </w:rPr>
        <w:t xml:space="preserve"> specyfikacji.</w:t>
      </w:r>
    </w:p>
    <w:p w:rsidR="00C406B1" w:rsidRPr="008675DD" w:rsidRDefault="00C406B1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Wykonawca zobowiązany jest do </w:t>
      </w:r>
      <w:r w:rsidR="004A2CA1" w:rsidRPr="008675DD">
        <w:rPr>
          <w:rFonts w:ascii="Tahoma" w:hAnsi="Tahoma" w:cs="Tahoma"/>
        </w:rPr>
        <w:t>składania, co</w:t>
      </w:r>
      <w:r w:rsidRPr="008675DD">
        <w:rPr>
          <w:rFonts w:ascii="Tahoma" w:hAnsi="Tahoma" w:cs="Tahoma"/>
        </w:rPr>
        <w:t xml:space="preserve"> </w:t>
      </w:r>
      <w:r w:rsidR="000E7B7C" w:rsidRPr="008675DD">
        <w:rPr>
          <w:rFonts w:ascii="Tahoma" w:hAnsi="Tahoma" w:cs="Tahoma"/>
        </w:rPr>
        <w:t>4</w:t>
      </w:r>
      <w:r w:rsidRPr="008675DD">
        <w:rPr>
          <w:rFonts w:ascii="Tahoma" w:hAnsi="Tahoma" w:cs="Tahoma"/>
        </w:rPr>
        <w:t xml:space="preserve"> tygodnie</w:t>
      </w:r>
      <w:r w:rsidR="004A2CA1">
        <w:rPr>
          <w:rFonts w:ascii="Tahoma" w:hAnsi="Tahoma" w:cs="Tahoma"/>
        </w:rPr>
        <w:t>,</w:t>
      </w:r>
      <w:r w:rsidRPr="008675DD">
        <w:rPr>
          <w:rFonts w:ascii="Tahoma" w:hAnsi="Tahoma" w:cs="Tahoma"/>
        </w:rPr>
        <w:t xml:space="preserve"> informacji o aktualnym stanie zaawansowania projektu</w:t>
      </w:r>
      <w:r w:rsidR="00EF3573" w:rsidRPr="008675DD">
        <w:rPr>
          <w:rFonts w:ascii="Tahoma" w:hAnsi="Tahoma" w:cs="Tahoma"/>
        </w:rPr>
        <w:t xml:space="preserve"> oraz </w:t>
      </w:r>
      <w:r w:rsidR="001D1AFD" w:rsidRPr="008675DD">
        <w:rPr>
          <w:rFonts w:ascii="Tahoma" w:hAnsi="Tahoma" w:cs="Tahoma"/>
        </w:rPr>
        <w:t>e</w:t>
      </w:r>
      <w:r w:rsidR="00EF3573" w:rsidRPr="008675DD">
        <w:rPr>
          <w:rFonts w:ascii="Tahoma" w:hAnsi="Tahoma" w:cs="Tahoma"/>
        </w:rPr>
        <w:t>w</w:t>
      </w:r>
      <w:r w:rsidR="001D1AFD" w:rsidRPr="008675DD">
        <w:rPr>
          <w:rFonts w:ascii="Tahoma" w:hAnsi="Tahoma" w:cs="Tahoma"/>
        </w:rPr>
        <w:t xml:space="preserve">entualnych </w:t>
      </w:r>
      <w:r w:rsidR="00EF3573" w:rsidRPr="008675DD">
        <w:rPr>
          <w:rFonts w:ascii="Tahoma" w:hAnsi="Tahoma" w:cs="Tahoma"/>
        </w:rPr>
        <w:t>trudnościach w realizacji</w:t>
      </w:r>
      <w:r w:rsidRPr="008675DD">
        <w:rPr>
          <w:rFonts w:ascii="Tahoma" w:hAnsi="Tahoma" w:cs="Tahoma"/>
        </w:rPr>
        <w:t xml:space="preserve"> (pismem </w:t>
      </w:r>
      <w:r w:rsidR="00EF3573" w:rsidRPr="008675DD">
        <w:rPr>
          <w:rFonts w:ascii="Tahoma" w:hAnsi="Tahoma" w:cs="Tahoma"/>
        </w:rPr>
        <w:t>na kancelarię Zamawiającego</w:t>
      </w:r>
      <w:r w:rsidR="004A2CA1">
        <w:rPr>
          <w:rFonts w:ascii="Tahoma" w:hAnsi="Tahoma" w:cs="Tahoma"/>
        </w:rPr>
        <w:t>,</w:t>
      </w:r>
      <w:r w:rsidR="00EF3573" w:rsidRPr="008675DD">
        <w:rPr>
          <w:rFonts w:ascii="Tahoma" w:hAnsi="Tahoma" w:cs="Tahoma"/>
        </w:rPr>
        <w:t xml:space="preserve"> pocztą</w:t>
      </w:r>
      <w:r w:rsidR="001D1AFD" w:rsidRPr="008675DD">
        <w:rPr>
          <w:rFonts w:ascii="Tahoma" w:hAnsi="Tahoma" w:cs="Tahoma"/>
        </w:rPr>
        <w:t xml:space="preserve"> na adres Zamawiającego</w:t>
      </w:r>
      <w:r w:rsidR="004A2CA1">
        <w:rPr>
          <w:rFonts w:ascii="Tahoma" w:hAnsi="Tahoma" w:cs="Tahoma"/>
        </w:rPr>
        <w:t xml:space="preserve"> lub pocztą elektroniczną na adres Zamawiającego</w:t>
      </w:r>
      <w:r w:rsidR="00EF3573" w:rsidRPr="008675DD">
        <w:rPr>
          <w:rFonts w:ascii="Tahoma" w:hAnsi="Tahoma" w:cs="Tahoma"/>
        </w:rPr>
        <w:t>)</w:t>
      </w:r>
      <w:r w:rsidR="001D1AFD" w:rsidRPr="008675DD">
        <w:rPr>
          <w:rFonts w:ascii="Tahoma" w:hAnsi="Tahoma" w:cs="Tahoma"/>
        </w:rPr>
        <w:t>.</w:t>
      </w:r>
      <w:r w:rsidR="00EF3573" w:rsidRPr="008675DD">
        <w:rPr>
          <w:rFonts w:ascii="Tahoma" w:hAnsi="Tahoma" w:cs="Tahoma"/>
        </w:rPr>
        <w:t xml:space="preserve"> </w:t>
      </w:r>
      <w:r w:rsidRPr="008675DD">
        <w:rPr>
          <w:rFonts w:ascii="Tahoma" w:hAnsi="Tahoma" w:cs="Tahoma"/>
        </w:rPr>
        <w:t>Korespondencja wysyłana</w:t>
      </w:r>
      <w:r w:rsidR="00C16950" w:rsidRPr="008675DD">
        <w:rPr>
          <w:rFonts w:ascii="Tahoma" w:hAnsi="Tahoma" w:cs="Tahoma"/>
        </w:rPr>
        <w:t xml:space="preserve"> </w:t>
      </w:r>
      <w:r w:rsidRPr="008675DD">
        <w:rPr>
          <w:rFonts w:ascii="Tahoma" w:hAnsi="Tahoma" w:cs="Tahoma"/>
        </w:rPr>
        <w:t>przez Wykonawcę (dotycząca przedmiotu zamówienia) musi być każdorazowo wysyłana jednocześnie do Zamawiającego do wiadomości</w:t>
      </w:r>
      <w:r w:rsidR="00045BE9" w:rsidRPr="008675DD">
        <w:rPr>
          <w:rFonts w:ascii="Tahoma" w:hAnsi="Tahoma" w:cs="Tahoma"/>
        </w:rPr>
        <w:t>, korespondencja otrzymywana przez Wykonawcę (dotycząca przedmiotu zamówienia) musi być dostarczana w przeciągu tygodnia Zamawiającemu w formie kserokopii</w:t>
      </w:r>
      <w:r w:rsidRPr="008675DD">
        <w:rPr>
          <w:rFonts w:ascii="Tahoma" w:hAnsi="Tahoma" w:cs="Tahoma"/>
        </w:rPr>
        <w:t>.</w:t>
      </w:r>
      <w:r w:rsidR="00730081" w:rsidRPr="008675DD">
        <w:rPr>
          <w:rFonts w:ascii="Tahoma" w:hAnsi="Tahoma" w:cs="Tahoma"/>
        </w:rPr>
        <w:t xml:space="preserve"> Przy ewentualnym rozpatrywaniu prośby Wykonawcy o przedłużenie terminu wykonania umowy, Zamawiający zastrzega sobie prawo nie brania pod uwagę okoliczności</w:t>
      </w:r>
      <w:r w:rsidR="00045BE9" w:rsidRPr="008675DD">
        <w:rPr>
          <w:rFonts w:ascii="Tahoma" w:hAnsi="Tahoma" w:cs="Tahoma"/>
        </w:rPr>
        <w:t>,</w:t>
      </w:r>
      <w:r w:rsidR="00C16950" w:rsidRPr="008675DD">
        <w:rPr>
          <w:rFonts w:ascii="Tahoma" w:hAnsi="Tahoma" w:cs="Tahoma"/>
        </w:rPr>
        <w:t xml:space="preserve"> które nie były wcześniej sygnalizowane oraz dokumentów, które nie zostały </w:t>
      </w:r>
      <w:r w:rsidR="00334975" w:rsidRPr="008675DD">
        <w:rPr>
          <w:rFonts w:ascii="Tahoma" w:hAnsi="Tahoma" w:cs="Tahoma"/>
        </w:rPr>
        <w:t>przekazane</w:t>
      </w:r>
      <w:r w:rsidR="00C16950" w:rsidRPr="008675DD">
        <w:rPr>
          <w:rFonts w:ascii="Tahoma" w:hAnsi="Tahoma" w:cs="Tahoma"/>
        </w:rPr>
        <w:t xml:space="preserve"> Zamawiające</w:t>
      </w:r>
      <w:r w:rsidR="00334975" w:rsidRPr="008675DD">
        <w:rPr>
          <w:rFonts w:ascii="Tahoma" w:hAnsi="Tahoma" w:cs="Tahoma"/>
        </w:rPr>
        <w:t>mu</w:t>
      </w:r>
      <w:r w:rsidR="00C16950" w:rsidRPr="008675DD">
        <w:rPr>
          <w:rFonts w:ascii="Tahoma" w:hAnsi="Tahoma" w:cs="Tahoma"/>
        </w:rPr>
        <w:t>.</w:t>
      </w:r>
    </w:p>
    <w:p w:rsidR="009044AB" w:rsidRPr="008675DD" w:rsidRDefault="009044AB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Dokumentacja projektowa powinna zawierać wszystkie dokumenty i uzgodnienia pozwalające na</w:t>
      </w:r>
      <w:r w:rsidR="002117E7" w:rsidRPr="008675DD">
        <w:rPr>
          <w:rFonts w:ascii="Tahoma" w:hAnsi="Tahoma" w:cs="Tahoma"/>
        </w:rPr>
        <w:t xml:space="preserve"> uzyskanie pozwolenia na budowę lub zgłoszenia robót budowlanych</w:t>
      </w:r>
      <w:r w:rsidR="000E257A">
        <w:rPr>
          <w:rFonts w:ascii="Tahoma" w:hAnsi="Tahoma" w:cs="Tahoma"/>
        </w:rPr>
        <w:t>.</w:t>
      </w:r>
    </w:p>
    <w:p w:rsidR="009044AB" w:rsidRPr="008675DD" w:rsidRDefault="009044AB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lastRenderedPageBreak/>
        <w:t>W projekcie należy uwzględnić wykonanie robót polegających na demontażu</w:t>
      </w:r>
      <w:r w:rsidR="00240A03" w:rsidRPr="008675DD">
        <w:rPr>
          <w:rFonts w:ascii="Tahoma" w:hAnsi="Tahoma" w:cs="Tahoma"/>
        </w:rPr>
        <w:t xml:space="preserve"> lub ewentualn</w:t>
      </w:r>
      <w:r w:rsidR="00B83032" w:rsidRPr="008675DD">
        <w:rPr>
          <w:rFonts w:ascii="Tahoma" w:hAnsi="Tahoma" w:cs="Tahoma"/>
        </w:rPr>
        <w:t>ą</w:t>
      </w:r>
      <w:r w:rsidR="00240A03" w:rsidRPr="008675DD">
        <w:rPr>
          <w:rFonts w:ascii="Tahoma" w:hAnsi="Tahoma" w:cs="Tahoma"/>
        </w:rPr>
        <w:t xml:space="preserve"> zmian</w:t>
      </w:r>
      <w:r w:rsidR="00B83032" w:rsidRPr="008675DD">
        <w:rPr>
          <w:rFonts w:ascii="Tahoma" w:hAnsi="Tahoma" w:cs="Tahoma"/>
        </w:rPr>
        <w:t>ę</w:t>
      </w:r>
      <w:r w:rsidR="00240A03" w:rsidRPr="008675DD">
        <w:rPr>
          <w:rFonts w:ascii="Tahoma" w:hAnsi="Tahoma" w:cs="Tahoma"/>
        </w:rPr>
        <w:t xml:space="preserve"> lokalizacji</w:t>
      </w:r>
      <w:r w:rsidRPr="008675DD">
        <w:rPr>
          <w:rFonts w:ascii="Tahoma" w:hAnsi="Tahoma" w:cs="Tahoma"/>
        </w:rPr>
        <w:t xml:space="preserve"> istniejących urządzeń oświetleniowych</w:t>
      </w:r>
      <w:r w:rsidR="009B119D" w:rsidRPr="008675DD">
        <w:rPr>
          <w:rFonts w:ascii="Tahoma" w:hAnsi="Tahoma" w:cs="Tahoma"/>
        </w:rPr>
        <w:t>, drogowych (znaki drogowe pionowe</w:t>
      </w:r>
      <w:r w:rsidR="00FE7E4E" w:rsidRPr="008675DD">
        <w:rPr>
          <w:rFonts w:ascii="Tahoma" w:hAnsi="Tahoma" w:cs="Tahoma"/>
        </w:rPr>
        <w:t xml:space="preserve">, ewentualnie ze </w:t>
      </w:r>
      <w:proofErr w:type="spellStart"/>
      <w:r w:rsidR="00FE7E4E" w:rsidRPr="008675DD">
        <w:rPr>
          <w:rFonts w:ascii="Tahoma" w:hAnsi="Tahoma" w:cs="Tahoma"/>
        </w:rPr>
        <w:t>sztycą</w:t>
      </w:r>
      <w:proofErr w:type="spellEnd"/>
      <w:r w:rsidR="00FE7E4E" w:rsidRPr="008675DD">
        <w:rPr>
          <w:rFonts w:ascii="Tahoma" w:hAnsi="Tahoma" w:cs="Tahoma"/>
        </w:rPr>
        <w:t xml:space="preserve">, urządzenia bezpieczeństwa ruchu drogowego, MSI) </w:t>
      </w:r>
      <w:r w:rsidR="00C476BD" w:rsidRPr="008675DD">
        <w:rPr>
          <w:rFonts w:ascii="Tahoma" w:hAnsi="Tahoma" w:cs="Tahoma"/>
        </w:rPr>
        <w:t>oraz prac związanych z zielenią.</w:t>
      </w:r>
    </w:p>
    <w:p w:rsidR="00C476BD" w:rsidRPr="008675DD" w:rsidRDefault="00B83032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Sposób o</w:t>
      </w:r>
      <w:r w:rsidR="00C476BD" w:rsidRPr="008675DD">
        <w:rPr>
          <w:rFonts w:ascii="Tahoma" w:hAnsi="Tahoma" w:cs="Tahoma"/>
        </w:rPr>
        <w:t>dtwarzani</w:t>
      </w:r>
      <w:r w:rsidRPr="008675DD">
        <w:rPr>
          <w:rFonts w:ascii="Tahoma" w:hAnsi="Tahoma" w:cs="Tahoma"/>
        </w:rPr>
        <w:t>a</w:t>
      </w:r>
      <w:r w:rsidR="00C476BD" w:rsidRPr="008675DD">
        <w:rPr>
          <w:rFonts w:ascii="Tahoma" w:hAnsi="Tahoma" w:cs="Tahoma"/>
        </w:rPr>
        <w:t xml:space="preserve"> nawierzchni, która zostanie naruszona podczas prac należy uzgodnić z Wydziałem Dróg Zarządu Dróg Miejskich m. st. Warszawy.</w:t>
      </w:r>
    </w:p>
    <w:p w:rsidR="006958F9" w:rsidRDefault="006958F9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Wykonawca jest zobowiązany do uzyskania niezbędnych uzgodnień z właścicielami przebudowywanych urządzeń.</w:t>
      </w:r>
    </w:p>
    <w:p w:rsidR="000E257A" w:rsidRDefault="00A469BA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0E257A">
        <w:rPr>
          <w:rFonts w:ascii="Tahoma" w:hAnsi="Tahoma" w:cs="Tahoma"/>
        </w:rPr>
        <w:t xml:space="preserve">Wykonawca jest zobowiązany do uzyskania skutecznych zgłoszeń robót budowlanych </w:t>
      </w:r>
      <w:r w:rsidR="00AF7E93">
        <w:rPr>
          <w:rFonts w:ascii="Tahoma" w:hAnsi="Tahoma" w:cs="Tahoma"/>
        </w:rPr>
        <w:t>lub pozwolenia na budowę.</w:t>
      </w:r>
    </w:p>
    <w:p w:rsidR="003762E6" w:rsidRDefault="003762E6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Wykonawca jest zobowiązany do uzyskania uzgodnie</w:t>
      </w:r>
      <w:r w:rsidR="00610797" w:rsidRPr="008675DD">
        <w:rPr>
          <w:rFonts w:ascii="Tahoma" w:hAnsi="Tahoma" w:cs="Tahoma"/>
        </w:rPr>
        <w:t>ń</w:t>
      </w:r>
      <w:r w:rsidRPr="008675DD">
        <w:rPr>
          <w:rFonts w:ascii="Tahoma" w:hAnsi="Tahoma" w:cs="Tahoma"/>
        </w:rPr>
        <w:t xml:space="preserve"> warunków technicznych oraz wymagań materiałowych i</w:t>
      </w:r>
      <w:r w:rsidR="000E257A">
        <w:rPr>
          <w:rFonts w:ascii="Tahoma" w:hAnsi="Tahoma" w:cs="Tahoma"/>
        </w:rPr>
        <w:t> sprzętowych dla projektowanych szaf n</w:t>
      </w:r>
      <w:r w:rsidRPr="008675DD">
        <w:rPr>
          <w:rFonts w:ascii="Tahoma" w:hAnsi="Tahoma" w:cs="Tahoma"/>
        </w:rPr>
        <w:t xml:space="preserve">a etapie koncepcji w Wydziale Oświetlenia, u </w:t>
      </w:r>
      <w:r w:rsidR="000507D6">
        <w:rPr>
          <w:rFonts w:ascii="Tahoma" w:hAnsi="Tahoma" w:cs="Tahoma"/>
        </w:rPr>
        <w:t>inspektorów</w:t>
      </w:r>
      <w:r w:rsidRPr="008675DD">
        <w:rPr>
          <w:rFonts w:ascii="Tahoma" w:hAnsi="Tahoma" w:cs="Tahoma"/>
        </w:rPr>
        <w:t xml:space="preserve"> Zarządu Dróg Miejskich dla </w:t>
      </w:r>
      <w:r w:rsidR="00E1303D" w:rsidRPr="008675DD">
        <w:rPr>
          <w:rFonts w:ascii="Tahoma" w:hAnsi="Tahoma" w:cs="Tahoma"/>
        </w:rPr>
        <w:t>odpowiednich dzielnic.</w:t>
      </w:r>
    </w:p>
    <w:p w:rsidR="00005A23" w:rsidRPr="00005A23" w:rsidRDefault="00005A23" w:rsidP="008376A5">
      <w:pPr>
        <w:pStyle w:val="Akapitzlist"/>
        <w:numPr>
          <w:ilvl w:val="0"/>
          <w:numId w:val="20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005A23">
        <w:rPr>
          <w:rFonts w:ascii="Tahoma" w:eastAsia="Times New Roman" w:hAnsi="Tahoma" w:cs="Tahoma"/>
          <w:sz w:val="20"/>
          <w:szCs w:val="20"/>
        </w:rPr>
        <w:t>Wymagania techniczne dla nowych szaf oświetleniowych:</w:t>
      </w:r>
    </w:p>
    <w:p w:rsidR="00005A23" w:rsidRPr="00005A23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05A23">
        <w:rPr>
          <w:rFonts w:ascii="Tahoma" w:hAnsi="Tahoma" w:cs="Tahoma"/>
        </w:rPr>
        <w:t>wykonanie</w:t>
      </w:r>
      <w:proofErr w:type="gramEnd"/>
      <w:r w:rsidRPr="00005A23">
        <w:rPr>
          <w:rFonts w:ascii="Tahoma" w:hAnsi="Tahoma" w:cs="Tahoma"/>
        </w:rPr>
        <w:t xml:space="preserve"> w obudowach z tworzyw poliestrowych termoutwardzalnych wzmacnianych włóknem szklanym lub stalowych zabezpieczonych antykorozyjnie i wyposażone w fundamenty rozbudowane o dodatkowe kieszenie kablowe;</w:t>
      </w:r>
    </w:p>
    <w:p w:rsidR="00005A23" w:rsidRPr="00005A23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05A23">
        <w:rPr>
          <w:rFonts w:ascii="Tahoma" w:hAnsi="Tahoma" w:cs="Tahoma"/>
        </w:rPr>
        <w:t>oddzielne</w:t>
      </w:r>
      <w:proofErr w:type="gramEnd"/>
      <w:r w:rsidRPr="00005A23">
        <w:rPr>
          <w:rFonts w:ascii="Tahoma" w:hAnsi="Tahoma" w:cs="Tahoma"/>
        </w:rPr>
        <w:t xml:space="preserve"> drzwiczki do układu pomiarowego i oddzielne do komory sterując</w:t>
      </w:r>
      <w:r w:rsidR="000507D6">
        <w:rPr>
          <w:rFonts w:ascii="Tahoma" w:hAnsi="Tahoma" w:cs="Tahoma"/>
        </w:rPr>
        <w:t>ej</w:t>
      </w:r>
      <w:r w:rsidRPr="00005A23">
        <w:rPr>
          <w:rFonts w:ascii="Tahoma" w:hAnsi="Tahoma" w:cs="Tahoma"/>
        </w:rPr>
        <w:t>;</w:t>
      </w:r>
    </w:p>
    <w:p w:rsidR="00005A23" w:rsidRPr="00005A23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05A23">
        <w:rPr>
          <w:rFonts w:ascii="Tahoma" w:hAnsi="Tahoma" w:cs="Tahoma"/>
        </w:rPr>
        <w:t>odporność</w:t>
      </w:r>
      <w:proofErr w:type="gramEnd"/>
      <w:r w:rsidRPr="00005A23">
        <w:rPr>
          <w:rFonts w:ascii="Tahoma" w:hAnsi="Tahoma" w:cs="Tahoma"/>
        </w:rPr>
        <w:t xml:space="preserve"> na nadmiern</w:t>
      </w:r>
      <w:r w:rsidR="000507D6">
        <w:rPr>
          <w:rFonts w:ascii="Tahoma" w:hAnsi="Tahoma" w:cs="Tahoma"/>
        </w:rPr>
        <w:t>ą</w:t>
      </w:r>
      <w:r w:rsidRPr="00005A23">
        <w:rPr>
          <w:rFonts w:ascii="Tahoma" w:hAnsi="Tahoma" w:cs="Tahoma"/>
        </w:rPr>
        <w:t xml:space="preserve"> </w:t>
      </w:r>
      <w:r w:rsidR="000507D6">
        <w:rPr>
          <w:rFonts w:ascii="Tahoma" w:hAnsi="Tahoma" w:cs="Tahoma"/>
        </w:rPr>
        <w:t>temperaturę</w:t>
      </w:r>
      <w:r w:rsidRPr="00005A23">
        <w:rPr>
          <w:rFonts w:ascii="Tahoma" w:hAnsi="Tahoma" w:cs="Tahoma"/>
        </w:rPr>
        <w:t xml:space="preserve"> do 850</w:t>
      </w:r>
      <w:r w:rsidRPr="000507D6">
        <w:rPr>
          <w:rFonts w:ascii="Tahoma" w:hAnsi="Tahoma" w:cs="Tahoma"/>
          <w:vertAlign w:val="superscript"/>
        </w:rPr>
        <w:t>o</w:t>
      </w:r>
      <w:r w:rsidRPr="00005A23">
        <w:rPr>
          <w:rFonts w:ascii="Tahoma" w:hAnsi="Tahoma" w:cs="Tahoma"/>
        </w:rPr>
        <w:t>C oraz działanie promieni UV;</w:t>
      </w:r>
    </w:p>
    <w:p w:rsidR="00005A23" w:rsidRPr="00005A23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05A23">
        <w:rPr>
          <w:rFonts w:ascii="Tahoma" w:hAnsi="Tahoma" w:cs="Tahoma"/>
        </w:rPr>
        <w:t>stopień</w:t>
      </w:r>
      <w:proofErr w:type="gramEnd"/>
      <w:r w:rsidRPr="00005A23">
        <w:rPr>
          <w:rFonts w:ascii="Tahoma" w:hAnsi="Tahoma" w:cs="Tahoma"/>
        </w:rPr>
        <w:t xml:space="preserve"> ochrony na uszkodzenia mechaniczne min.: </w:t>
      </w:r>
      <w:proofErr w:type="spellStart"/>
      <w:r w:rsidRPr="00005A23">
        <w:rPr>
          <w:rFonts w:ascii="Tahoma" w:hAnsi="Tahoma" w:cs="Tahoma"/>
        </w:rPr>
        <w:t>Ik</w:t>
      </w:r>
      <w:proofErr w:type="spellEnd"/>
      <w:r w:rsidRPr="00005A23">
        <w:rPr>
          <w:rFonts w:ascii="Tahoma" w:hAnsi="Tahoma" w:cs="Tahoma"/>
        </w:rPr>
        <w:t xml:space="preserve"> 10;</w:t>
      </w:r>
    </w:p>
    <w:p w:rsidR="00005A23" w:rsidRPr="00005A23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05A23">
        <w:rPr>
          <w:rFonts w:ascii="Tahoma" w:hAnsi="Tahoma" w:cs="Tahoma"/>
        </w:rPr>
        <w:t>wymiary</w:t>
      </w:r>
      <w:proofErr w:type="gramEnd"/>
      <w:r w:rsidR="000507D6">
        <w:rPr>
          <w:rFonts w:ascii="Tahoma" w:hAnsi="Tahoma" w:cs="Tahoma"/>
        </w:rPr>
        <w:t xml:space="preserve"> dostosowane do zainstalowanych urządzeń z min. 20% rezerwą;</w:t>
      </w:r>
    </w:p>
    <w:p w:rsidR="00005A23" w:rsidRPr="00005A23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05A23">
        <w:rPr>
          <w:rFonts w:ascii="Tahoma" w:hAnsi="Tahoma" w:cs="Tahoma"/>
        </w:rPr>
        <w:t>osprzęt</w:t>
      </w:r>
      <w:proofErr w:type="gramEnd"/>
      <w:r w:rsidRPr="00005A23">
        <w:rPr>
          <w:rFonts w:ascii="Tahoma" w:hAnsi="Tahoma" w:cs="Tahoma"/>
        </w:rPr>
        <w:t xml:space="preserve"> elektroinstalacyjny zamocowany trw</w:t>
      </w:r>
      <w:r w:rsidR="000507D6">
        <w:rPr>
          <w:rFonts w:ascii="Tahoma" w:hAnsi="Tahoma" w:cs="Tahoma"/>
        </w:rPr>
        <w:t>ale i rozmieszczony estetycznie;</w:t>
      </w:r>
    </w:p>
    <w:p w:rsidR="000507D6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507D6">
        <w:rPr>
          <w:rFonts w:ascii="Tahoma" w:hAnsi="Tahoma" w:cs="Tahoma"/>
        </w:rPr>
        <w:t>oznaczenia</w:t>
      </w:r>
      <w:proofErr w:type="gramEnd"/>
      <w:r w:rsidRPr="000507D6">
        <w:rPr>
          <w:rFonts w:ascii="Tahoma" w:hAnsi="Tahoma" w:cs="Tahoma"/>
        </w:rPr>
        <w:t xml:space="preserve"> pól </w:t>
      </w:r>
      <w:r w:rsidR="000507D6" w:rsidRPr="000507D6">
        <w:rPr>
          <w:rFonts w:ascii="Tahoma" w:hAnsi="Tahoma" w:cs="Tahoma"/>
        </w:rPr>
        <w:t>odpływowych</w:t>
      </w:r>
      <w:r w:rsidRPr="000507D6">
        <w:rPr>
          <w:rFonts w:ascii="Tahoma" w:hAnsi="Tahoma" w:cs="Tahoma"/>
        </w:rPr>
        <w:t>, o</w:t>
      </w:r>
      <w:r w:rsidR="000507D6" w:rsidRPr="000507D6">
        <w:rPr>
          <w:rFonts w:ascii="Tahoma" w:hAnsi="Tahoma" w:cs="Tahoma"/>
        </w:rPr>
        <w:t>sprzętu oraz schematy zasilania,</w:t>
      </w:r>
      <w:r w:rsidRPr="000507D6">
        <w:rPr>
          <w:rFonts w:ascii="Tahoma" w:hAnsi="Tahoma" w:cs="Tahoma"/>
        </w:rPr>
        <w:t xml:space="preserve"> </w:t>
      </w:r>
      <w:r w:rsidR="000507D6" w:rsidRPr="000507D6">
        <w:rPr>
          <w:rFonts w:ascii="Tahoma" w:hAnsi="Tahoma" w:cs="Tahoma"/>
        </w:rPr>
        <w:t>o</w:t>
      </w:r>
      <w:r w:rsidRPr="000507D6">
        <w:rPr>
          <w:rFonts w:ascii="Tahoma" w:hAnsi="Tahoma" w:cs="Tahoma"/>
        </w:rPr>
        <w:t xml:space="preserve">pisy obwodów </w:t>
      </w:r>
      <w:r w:rsidR="000507D6" w:rsidRPr="000507D6">
        <w:rPr>
          <w:rFonts w:ascii="Tahoma" w:hAnsi="Tahoma" w:cs="Tahoma"/>
        </w:rPr>
        <w:t xml:space="preserve">oraz technika wykonania </w:t>
      </w:r>
      <w:r w:rsidRPr="000507D6">
        <w:rPr>
          <w:rFonts w:ascii="Tahoma" w:hAnsi="Tahoma" w:cs="Tahoma"/>
        </w:rPr>
        <w:t xml:space="preserve">będą </w:t>
      </w:r>
      <w:r w:rsidR="000507D6" w:rsidRPr="000507D6">
        <w:rPr>
          <w:rFonts w:ascii="Tahoma" w:hAnsi="Tahoma" w:cs="Tahoma"/>
        </w:rPr>
        <w:t>ustalane</w:t>
      </w:r>
      <w:r w:rsidRPr="000507D6">
        <w:rPr>
          <w:rFonts w:ascii="Tahoma" w:hAnsi="Tahoma" w:cs="Tahoma"/>
        </w:rPr>
        <w:t xml:space="preserve"> na </w:t>
      </w:r>
      <w:r w:rsidR="000507D6" w:rsidRPr="000507D6">
        <w:rPr>
          <w:rFonts w:ascii="Tahoma" w:hAnsi="Tahoma" w:cs="Tahoma"/>
        </w:rPr>
        <w:t>bieżąco</w:t>
      </w:r>
      <w:r w:rsidRPr="000507D6">
        <w:rPr>
          <w:rFonts w:ascii="Tahoma" w:hAnsi="Tahoma" w:cs="Tahoma"/>
        </w:rPr>
        <w:t xml:space="preserve"> po sprawdzeniu w terenie przy ud</w:t>
      </w:r>
      <w:r w:rsidR="000507D6" w:rsidRPr="000507D6">
        <w:rPr>
          <w:rFonts w:ascii="Tahoma" w:hAnsi="Tahoma" w:cs="Tahoma"/>
        </w:rPr>
        <w:t>ziale Wykonawcy i Zamawiającego</w:t>
      </w:r>
      <w:r w:rsidR="000507D6">
        <w:rPr>
          <w:rFonts w:ascii="Tahoma" w:hAnsi="Tahoma" w:cs="Tahoma"/>
        </w:rPr>
        <w:t>;</w:t>
      </w:r>
    </w:p>
    <w:p w:rsidR="00005A23" w:rsidRPr="000507D6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507D6">
        <w:rPr>
          <w:rFonts w:ascii="Tahoma" w:hAnsi="Tahoma" w:cs="Tahoma"/>
        </w:rPr>
        <w:t>kable</w:t>
      </w:r>
      <w:proofErr w:type="gramEnd"/>
      <w:r w:rsidRPr="000507D6">
        <w:rPr>
          <w:rFonts w:ascii="Tahoma" w:hAnsi="Tahoma" w:cs="Tahoma"/>
        </w:rPr>
        <w:t xml:space="preserve"> zamocowane za pomocą </w:t>
      </w:r>
      <w:r w:rsidR="000507D6">
        <w:rPr>
          <w:rFonts w:ascii="Tahoma" w:hAnsi="Tahoma" w:cs="Tahoma"/>
        </w:rPr>
        <w:t xml:space="preserve">systemowych </w:t>
      </w:r>
      <w:r w:rsidRPr="000507D6">
        <w:rPr>
          <w:rFonts w:ascii="Tahoma" w:hAnsi="Tahoma" w:cs="Tahoma"/>
        </w:rPr>
        <w:t xml:space="preserve">uchwytów kablowych; </w:t>
      </w:r>
    </w:p>
    <w:p w:rsidR="00005A23" w:rsidRPr="00005A23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r w:rsidRPr="00005A23">
        <w:rPr>
          <w:rFonts w:ascii="Tahoma" w:hAnsi="Tahoma" w:cs="Tahoma"/>
        </w:rPr>
        <w:t>sterowanie oświetleniem za pomocą astronomicznego zegara sterującego dwustrefowe</w:t>
      </w:r>
      <w:r w:rsidR="000507D6">
        <w:rPr>
          <w:rFonts w:ascii="Tahoma" w:hAnsi="Tahoma" w:cs="Tahoma"/>
        </w:rPr>
        <w:t>go z obsługą taryfy nocnej</w:t>
      </w:r>
      <w:r w:rsidRPr="00005A23">
        <w:rPr>
          <w:rFonts w:ascii="Tahoma" w:hAnsi="Tahoma" w:cs="Tahoma"/>
        </w:rPr>
        <w:t xml:space="preserve"> wyposażonego w kartę GSM połączonego z analizatorem sieci, umożliwiającym zdalne monitorowanie parametrów urządzeń oświetlenia ulicznego</w:t>
      </w:r>
      <w:proofErr w:type="gramStart"/>
      <w:r w:rsidR="000507D6">
        <w:rPr>
          <w:rFonts w:ascii="Tahoma" w:hAnsi="Tahoma" w:cs="Tahoma"/>
        </w:rPr>
        <w:t>;;</w:t>
      </w:r>
      <w:proofErr w:type="gramEnd"/>
      <w:r w:rsidRPr="00005A23">
        <w:rPr>
          <w:rFonts w:ascii="Tahoma" w:hAnsi="Tahoma" w:cs="Tahoma"/>
        </w:rPr>
        <w:t xml:space="preserve"> </w:t>
      </w:r>
    </w:p>
    <w:p w:rsidR="00005A23" w:rsidRPr="00005A23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05A23">
        <w:rPr>
          <w:rFonts w:ascii="Tahoma" w:hAnsi="Tahoma" w:cs="Tahoma"/>
        </w:rPr>
        <w:t>częś</w:t>
      </w:r>
      <w:r w:rsidR="00616078">
        <w:rPr>
          <w:rFonts w:ascii="Tahoma" w:hAnsi="Tahoma" w:cs="Tahoma"/>
        </w:rPr>
        <w:t>ć</w:t>
      </w:r>
      <w:proofErr w:type="gramEnd"/>
      <w:r w:rsidRPr="00005A23">
        <w:rPr>
          <w:rFonts w:ascii="Tahoma" w:hAnsi="Tahoma" w:cs="Tahoma"/>
        </w:rPr>
        <w:t xml:space="preserve"> pomiarow</w:t>
      </w:r>
      <w:r w:rsidR="00616078">
        <w:rPr>
          <w:rFonts w:ascii="Tahoma" w:hAnsi="Tahoma" w:cs="Tahoma"/>
        </w:rPr>
        <w:t>a</w:t>
      </w:r>
      <w:r w:rsidRPr="00005A23">
        <w:rPr>
          <w:rFonts w:ascii="Tahoma" w:hAnsi="Tahoma" w:cs="Tahoma"/>
        </w:rPr>
        <w:t xml:space="preserve">, </w:t>
      </w:r>
      <w:r w:rsidR="00616078">
        <w:rPr>
          <w:rFonts w:ascii="Tahoma" w:hAnsi="Tahoma" w:cs="Tahoma"/>
        </w:rPr>
        <w:t xml:space="preserve">realizowana według wytycznych </w:t>
      </w:r>
      <w:proofErr w:type="spellStart"/>
      <w:r w:rsidR="000507D6">
        <w:rPr>
          <w:rFonts w:ascii="Tahoma" w:hAnsi="Tahoma" w:cs="Tahoma"/>
        </w:rPr>
        <w:t>innogy</w:t>
      </w:r>
      <w:proofErr w:type="spellEnd"/>
      <w:r w:rsidRPr="00005A23">
        <w:rPr>
          <w:rFonts w:ascii="Tahoma" w:hAnsi="Tahoma" w:cs="Tahoma"/>
        </w:rPr>
        <w:t xml:space="preserve"> Stoen Operator Sp. z o.</w:t>
      </w:r>
      <w:proofErr w:type="gramStart"/>
      <w:r w:rsidRPr="00005A23">
        <w:rPr>
          <w:rFonts w:ascii="Tahoma" w:hAnsi="Tahoma" w:cs="Tahoma"/>
        </w:rPr>
        <w:t>o</w:t>
      </w:r>
      <w:proofErr w:type="gramEnd"/>
      <w:r w:rsidRPr="00005A23">
        <w:rPr>
          <w:rFonts w:ascii="Tahoma" w:hAnsi="Tahoma" w:cs="Tahoma"/>
        </w:rPr>
        <w:t>.;</w:t>
      </w:r>
    </w:p>
    <w:p w:rsidR="00005A23" w:rsidRPr="00005A23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05A23">
        <w:rPr>
          <w:rFonts w:ascii="Tahoma" w:hAnsi="Tahoma" w:cs="Tahoma"/>
        </w:rPr>
        <w:t>szafy</w:t>
      </w:r>
      <w:proofErr w:type="gramEnd"/>
      <w:r w:rsidRPr="00005A23">
        <w:rPr>
          <w:rFonts w:ascii="Tahoma" w:hAnsi="Tahoma" w:cs="Tahoma"/>
        </w:rPr>
        <w:t xml:space="preserve"> muszą posiadać aktualne certyfikaty lub atesty dopuszczające </w:t>
      </w:r>
      <w:r w:rsidR="00616078">
        <w:rPr>
          <w:rFonts w:ascii="Tahoma" w:hAnsi="Tahoma" w:cs="Tahoma"/>
        </w:rPr>
        <w:t>do stosowania na terenie UE</w:t>
      </w:r>
      <w:r w:rsidRPr="00005A23">
        <w:rPr>
          <w:rFonts w:ascii="Tahoma" w:hAnsi="Tahoma" w:cs="Tahoma"/>
        </w:rPr>
        <w:t>;</w:t>
      </w:r>
    </w:p>
    <w:p w:rsidR="00005A23" w:rsidRPr="00005A23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05A23">
        <w:rPr>
          <w:rFonts w:ascii="Tahoma" w:hAnsi="Tahoma" w:cs="Tahoma"/>
        </w:rPr>
        <w:t>zamykanie</w:t>
      </w:r>
      <w:proofErr w:type="gramEnd"/>
      <w:r w:rsidRPr="00005A23">
        <w:rPr>
          <w:rFonts w:ascii="Tahoma" w:hAnsi="Tahoma" w:cs="Tahoma"/>
        </w:rPr>
        <w:t xml:space="preserve"> szafy oświetleniow</w:t>
      </w:r>
      <w:r w:rsidR="00616078">
        <w:rPr>
          <w:rFonts w:ascii="Tahoma" w:hAnsi="Tahoma" w:cs="Tahoma"/>
        </w:rPr>
        <w:t>ej za pomocą wkładki typu 1333;</w:t>
      </w:r>
    </w:p>
    <w:p w:rsidR="00005A23" w:rsidRDefault="00005A23" w:rsidP="008376A5">
      <w:pPr>
        <w:numPr>
          <w:ilvl w:val="1"/>
          <w:numId w:val="20"/>
        </w:numPr>
        <w:jc w:val="both"/>
        <w:rPr>
          <w:rFonts w:ascii="Tahoma" w:hAnsi="Tahoma" w:cs="Tahoma"/>
        </w:rPr>
      </w:pPr>
      <w:proofErr w:type="gramStart"/>
      <w:r w:rsidRPr="00005A23">
        <w:rPr>
          <w:rFonts w:ascii="Tahoma" w:hAnsi="Tahoma" w:cs="Tahoma"/>
        </w:rPr>
        <w:t>wyposażenie</w:t>
      </w:r>
      <w:proofErr w:type="gramEnd"/>
      <w:r w:rsidRPr="00005A23">
        <w:rPr>
          <w:rFonts w:ascii="Tahoma" w:hAnsi="Tahoma" w:cs="Tahoma"/>
        </w:rPr>
        <w:t xml:space="preserve"> szafy w wyłączniki krańcowe, podłączone do sterownika oświetleniem, umożliwiające monitorowanie otwarcia szafy oświetleniowej.</w:t>
      </w:r>
    </w:p>
    <w:p w:rsidR="00AF7E93" w:rsidRPr="00005A23" w:rsidRDefault="00AF7E93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częścią Specyfikacji technicznej są karty lokalizacji obiektów.</w:t>
      </w:r>
    </w:p>
    <w:p w:rsidR="002718CF" w:rsidRPr="008675DD" w:rsidRDefault="002718CF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Rękojmia na dokumentację projektową musi wynosić minimum 3 lata.</w:t>
      </w:r>
    </w:p>
    <w:p w:rsidR="002718CF" w:rsidRDefault="002718CF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Wszelkie konieczne nadzory autorskie nad inwestycją wykonywaną na podstawie projektu są wliczone w cenę projektu.</w:t>
      </w:r>
    </w:p>
    <w:p w:rsidR="002718CF" w:rsidRPr="000E257A" w:rsidRDefault="009044AB" w:rsidP="008376A5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0E257A">
        <w:rPr>
          <w:rFonts w:ascii="Tahoma" w:hAnsi="Tahoma" w:cs="Tahoma"/>
        </w:rPr>
        <w:t>Wykonawca jest obowiązany uzyskać w imieniu Zamawiającego pozwolenie na budowę</w:t>
      </w:r>
      <w:r w:rsidR="00D540BA" w:rsidRPr="000E257A">
        <w:rPr>
          <w:rFonts w:ascii="Tahoma" w:hAnsi="Tahoma" w:cs="Tahoma"/>
        </w:rPr>
        <w:t xml:space="preserve"> l</w:t>
      </w:r>
      <w:r w:rsidR="00702003" w:rsidRPr="000E257A">
        <w:rPr>
          <w:rFonts w:ascii="Tahoma" w:hAnsi="Tahoma" w:cs="Tahoma"/>
        </w:rPr>
        <w:t>ub zgłoszenia robót budowlanych</w:t>
      </w:r>
      <w:r w:rsidR="000E257A">
        <w:rPr>
          <w:rFonts w:ascii="Tahoma" w:hAnsi="Tahoma" w:cs="Tahoma"/>
        </w:rPr>
        <w:t>.</w:t>
      </w:r>
    </w:p>
    <w:sectPr w:rsidR="002718CF" w:rsidRPr="000E257A" w:rsidSect="00ED3EE7">
      <w:footerReference w:type="even" r:id="rId7"/>
      <w:footerReference w:type="default" r:id="rId8"/>
      <w:pgSz w:w="11906" w:h="16838"/>
      <w:pgMar w:top="1276" w:right="1274" w:bottom="127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3E" w:rsidRDefault="004F373E">
      <w:r>
        <w:separator/>
      </w:r>
    </w:p>
  </w:endnote>
  <w:endnote w:type="continuationSeparator" w:id="0">
    <w:p w:rsidR="004F373E" w:rsidRDefault="004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BD" w:rsidRDefault="00E836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836BD" w:rsidRDefault="00E836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BD" w:rsidRDefault="00E836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3E" w:rsidRDefault="004F373E">
      <w:r>
        <w:separator/>
      </w:r>
    </w:p>
  </w:footnote>
  <w:footnote w:type="continuationSeparator" w:id="0">
    <w:p w:rsidR="004F373E" w:rsidRDefault="004F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D7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F044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0117E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6CC3851"/>
    <w:multiLevelType w:val="hybridMultilevel"/>
    <w:tmpl w:val="6618109E"/>
    <w:lvl w:ilvl="0" w:tplc="DE7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E680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3ECB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818E5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42E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C4B9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BC01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803C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72CD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5D61FF"/>
    <w:multiLevelType w:val="multilevel"/>
    <w:tmpl w:val="6BD406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DC6E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EC80845"/>
    <w:multiLevelType w:val="hybridMultilevel"/>
    <w:tmpl w:val="DEDC3EEA"/>
    <w:lvl w:ilvl="0" w:tplc="3B3A7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8AE4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E4E7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B27B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3CA9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404E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A28F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0F5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18D2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9761EC"/>
    <w:multiLevelType w:val="hybridMultilevel"/>
    <w:tmpl w:val="BC5A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A6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545318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9E229A2"/>
    <w:multiLevelType w:val="multilevel"/>
    <w:tmpl w:val="650C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EE53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791236F"/>
    <w:multiLevelType w:val="multilevel"/>
    <w:tmpl w:val="1F14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92E0FD2"/>
    <w:multiLevelType w:val="hybridMultilevel"/>
    <w:tmpl w:val="23F85E5E"/>
    <w:lvl w:ilvl="0" w:tplc="7284C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2C230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11B2464"/>
    <w:multiLevelType w:val="hybridMultilevel"/>
    <w:tmpl w:val="7D48D6D8"/>
    <w:lvl w:ilvl="0" w:tplc="05DC4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1215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BE30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1A14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6056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4E1E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340F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2A4D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F08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23C5454"/>
    <w:multiLevelType w:val="multilevel"/>
    <w:tmpl w:val="DD187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6274F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B76585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1BF0BC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BE83DA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  <w:num w:numId="14">
    <w:abstractNumId w:val="18"/>
  </w:num>
  <w:num w:numId="15">
    <w:abstractNumId w:val="11"/>
  </w:num>
  <w:num w:numId="16">
    <w:abstractNumId w:val="0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3A"/>
    <w:rsid w:val="00005A23"/>
    <w:rsid w:val="00031DC0"/>
    <w:rsid w:val="00045BE9"/>
    <w:rsid w:val="000507D6"/>
    <w:rsid w:val="00057F07"/>
    <w:rsid w:val="000901B2"/>
    <w:rsid w:val="000B3200"/>
    <w:rsid w:val="000D0813"/>
    <w:rsid w:val="000E257A"/>
    <w:rsid w:val="000E2B30"/>
    <w:rsid w:val="000E7B7C"/>
    <w:rsid w:val="00117990"/>
    <w:rsid w:val="00135724"/>
    <w:rsid w:val="00164EC3"/>
    <w:rsid w:val="001653B9"/>
    <w:rsid w:val="00176813"/>
    <w:rsid w:val="0019797F"/>
    <w:rsid w:val="001A3441"/>
    <w:rsid w:val="001A588D"/>
    <w:rsid w:val="001C203B"/>
    <w:rsid w:val="001D1AFD"/>
    <w:rsid w:val="001D6F0D"/>
    <w:rsid w:val="001E0B0D"/>
    <w:rsid w:val="001E31BD"/>
    <w:rsid w:val="001E7877"/>
    <w:rsid w:val="002117E7"/>
    <w:rsid w:val="00240A03"/>
    <w:rsid w:val="002438BC"/>
    <w:rsid w:val="0026245B"/>
    <w:rsid w:val="002718CF"/>
    <w:rsid w:val="002826FE"/>
    <w:rsid w:val="00291DA0"/>
    <w:rsid w:val="002A07D9"/>
    <w:rsid w:val="002C5B74"/>
    <w:rsid w:val="00325428"/>
    <w:rsid w:val="00325F52"/>
    <w:rsid w:val="00334975"/>
    <w:rsid w:val="0037290E"/>
    <w:rsid w:val="003733C6"/>
    <w:rsid w:val="0037376A"/>
    <w:rsid w:val="003762E6"/>
    <w:rsid w:val="003C2AA8"/>
    <w:rsid w:val="003C34F8"/>
    <w:rsid w:val="003C7460"/>
    <w:rsid w:val="003E0F36"/>
    <w:rsid w:val="003E2740"/>
    <w:rsid w:val="003F0C16"/>
    <w:rsid w:val="003F3BB9"/>
    <w:rsid w:val="003F726A"/>
    <w:rsid w:val="00417D84"/>
    <w:rsid w:val="00445A03"/>
    <w:rsid w:val="004A2CA1"/>
    <w:rsid w:val="004C4BFC"/>
    <w:rsid w:val="004C72FE"/>
    <w:rsid w:val="004D0CB5"/>
    <w:rsid w:val="004D11C3"/>
    <w:rsid w:val="004F373E"/>
    <w:rsid w:val="0054510E"/>
    <w:rsid w:val="00553B4B"/>
    <w:rsid w:val="00563E1D"/>
    <w:rsid w:val="005711C0"/>
    <w:rsid w:val="00573C0F"/>
    <w:rsid w:val="005801A0"/>
    <w:rsid w:val="005B7752"/>
    <w:rsid w:val="005D2A85"/>
    <w:rsid w:val="00610797"/>
    <w:rsid w:val="006146A6"/>
    <w:rsid w:val="00616078"/>
    <w:rsid w:val="006958F9"/>
    <w:rsid w:val="006A2BFC"/>
    <w:rsid w:val="006E093A"/>
    <w:rsid w:val="006F2A61"/>
    <w:rsid w:val="00702003"/>
    <w:rsid w:val="00730081"/>
    <w:rsid w:val="00742C90"/>
    <w:rsid w:val="00746493"/>
    <w:rsid w:val="00770601"/>
    <w:rsid w:val="00775E35"/>
    <w:rsid w:val="007863C1"/>
    <w:rsid w:val="007A6F97"/>
    <w:rsid w:val="007D2FCD"/>
    <w:rsid w:val="007E0581"/>
    <w:rsid w:val="008138B3"/>
    <w:rsid w:val="0082341A"/>
    <w:rsid w:val="00834BB6"/>
    <w:rsid w:val="008376A5"/>
    <w:rsid w:val="008428DE"/>
    <w:rsid w:val="008675DD"/>
    <w:rsid w:val="00880E8C"/>
    <w:rsid w:val="008C0B51"/>
    <w:rsid w:val="008F6D20"/>
    <w:rsid w:val="00902775"/>
    <w:rsid w:val="009044AB"/>
    <w:rsid w:val="00923CD5"/>
    <w:rsid w:val="00932AF6"/>
    <w:rsid w:val="0099468A"/>
    <w:rsid w:val="009A7189"/>
    <w:rsid w:val="009B119D"/>
    <w:rsid w:val="00A106D4"/>
    <w:rsid w:val="00A45B05"/>
    <w:rsid w:val="00A45F91"/>
    <w:rsid w:val="00A469BA"/>
    <w:rsid w:val="00A67DEC"/>
    <w:rsid w:val="00A81161"/>
    <w:rsid w:val="00A85C5F"/>
    <w:rsid w:val="00A94E01"/>
    <w:rsid w:val="00AA6DA1"/>
    <w:rsid w:val="00AB236A"/>
    <w:rsid w:val="00AC5DA2"/>
    <w:rsid w:val="00AE5228"/>
    <w:rsid w:val="00AF4D9C"/>
    <w:rsid w:val="00AF7E93"/>
    <w:rsid w:val="00B00650"/>
    <w:rsid w:val="00B0222F"/>
    <w:rsid w:val="00B10BEA"/>
    <w:rsid w:val="00B4416D"/>
    <w:rsid w:val="00B47680"/>
    <w:rsid w:val="00B51D9B"/>
    <w:rsid w:val="00B61166"/>
    <w:rsid w:val="00B7272F"/>
    <w:rsid w:val="00B73E22"/>
    <w:rsid w:val="00B83032"/>
    <w:rsid w:val="00B9529D"/>
    <w:rsid w:val="00BC7295"/>
    <w:rsid w:val="00C16950"/>
    <w:rsid w:val="00C26422"/>
    <w:rsid w:val="00C406B1"/>
    <w:rsid w:val="00C476BD"/>
    <w:rsid w:val="00C5286E"/>
    <w:rsid w:val="00C57FDB"/>
    <w:rsid w:val="00C72D79"/>
    <w:rsid w:val="00C85E9F"/>
    <w:rsid w:val="00C86D94"/>
    <w:rsid w:val="00C95092"/>
    <w:rsid w:val="00CA6593"/>
    <w:rsid w:val="00CB6078"/>
    <w:rsid w:val="00CD3ADA"/>
    <w:rsid w:val="00CF375C"/>
    <w:rsid w:val="00CF5874"/>
    <w:rsid w:val="00CF5D27"/>
    <w:rsid w:val="00D1659C"/>
    <w:rsid w:val="00D4402F"/>
    <w:rsid w:val="00D47A62"/>
    <w:rsid w:val="00D540BA"/>
    <w:rsid w:val="00D809DF"/>
    <w:rsid w:val="00D97ADF"/>
    <w:rsid w:val="00DD6AFC"/>
    <w:rsid w:val="00E059B6"/>
    <w:rsid w:val="00E05CBF"/>
    <w:rsid w:val="00E1303D"/>
    <w:rsid w:val="00E305F9"/>
    <w:rsid w:val="00E3573E"/>
    <w:rsid w:val="00E44E99"/>
    <w:rsid w:val="00E6054F"/>
    <w:rsid w:val="00E6077F"/>
    <w:rsid w:val="00E743B1"/>
    <w:rsid w:val="00E836BD"/>
    <w:rsid w:val="00E874B4"/>
    <w:rsid w:val="00E87A1D"/>
    <w:rsid w:val="00EC0551"/>
    <w:rsid w:val="00EC710F"/>
    <w:rsid w:val="00ED133C"/>
    <w:rsid w:val="00ED3EE7"/>
    <w:rsid w:val="00EF3573"/>
    <w:rsid w:val="00F12297"/>
    <w:rsid w:val="00F14467"/>
    <w:rsid w:val="00F308E0"/>
    <w:rsid w:val="00F620BD"/>
    <w:rsid w:val="00F820E7"/>
    <w:rsid w:val="00F96297"/>
    <w:rsid w:val="00FE2E6C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F6FB-07AE-45D1-A430-5537B75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i/>
      <w:iCs/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rsid w:val="001A3441"/>
    <w:rPr>
      <w:sz w:val="24"/>
      <w:szCs w:val="24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702003"/>
    <w:pPr>
      <w:spacing w:after="160" w:line="240" w:lineRule="exact"/>
    </w:pPr>
    <w:rPr>
      <w:rFonts w:ascii="Tahoma" w:hAnsi="Tahoma"/>
      <w:lang w:val="en-US" w:eastAsia="en-US"/>
    </w:rPr>
  </w:style>
  <w:style w:type="paragraph" w:styleId="Akapitzlist">
    <w:name w:val="List Paragraph"/>
    <w:basedOn w:val="Normalny"/>
    <w:uiPriority w:val="99"/>
    <w:qFormat/>
    <w:rsid w:val="002718CF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– ZAKRES KONSERWACJI URZĄDZEŃ OŚWIETLENIA ULICZNEGO WARSZAWY</vt:lpstr>
    </vt:vector>
  </TitlesOfParts>
  <Company>zdm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– ZAKRES KONSERWACJI URZĄDZEŃ OŚWIETLENIA ULICZNEGO WARSZAWY</dc:title>
  <dc:subject/>
  <cp:keywords/>
  <cp:lastModifiedBy>Marcin Brzostek</cp:lastModifiedBy>
  <cp:revision>12</cp:revision>
  <cp:lastPrinted>2019-07-02T07:04:00Z</cp:lastPrinted>
  <dcterms:created xsi:type="dcterms:W3CDTF">2019-05-09T12:48:00Z</dcterms:created>
  <dcterms:modified xsi:type="dcterms:W3CDTF">2019-07-02T07:04:00Z</dcterms:modified>
</cp:coreProperties>
</file>