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3A" w:rsidRPr="00E8473A" w:rsidRDefault="00E8473A" w:rsidP="00E8473A">
      <w:pPr>
        <w:pBdr>
          <w:bottom w:val="single" w:sz="6" w:space="1" w:color="auto"/>
        </w:pBdr>
        <w:spacing w:after="0" w:line="276" w:lineRule="auto"/>
        <w:jc w:val="both"/>
        <w:rPr>
          <w:rFonts w:ascii="Times New Roman" w:eastAsia="Times New Roman" w:hAnsi="Times New Roman" w:cs="Times New Roman"/>
          <w:vanish/>
          <w:sz w:val="16"/>
          <w:szCs w:val="16"/>
        </w:rPr>
      </w:pPr>
      <w:r>
        <w:rPr>
          <w:rFonts w:ascii="Times New Roman" w:hAnsi="Times New Roman"/>
          <w:vanish/>
          <w:sz w:val="16"/>
          <w:szCs w:val="16"/>
          <w:lang w:eastAsia="en-GB"/>
        </w:rPr>
        <w:t>Początek formularza</w:t>
      </w:r>
    </w:p>
    <w:p w:rsidR="00E8473A" w:rsidRPr="00E8473A" w:rsidRDefault="00E8473A" w:rsidP="00E8473A">
      <w:pPr>
        <w:spacing w:after="24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sz w:val="24"/>
          <w:szCs w:val="24"/>
        </w:rPr>
        <w:br/>
      </w:r>
      <w:r w:rsidRPr="00CC430D">
        <w:rPr>
          <w:rFonts w:ascii="Times New Roman" w:hAnsi="Times New Roman"/>
          <w:sz w:val="24"/>
          <w:szCs w:val="24"/>
        </w:rPr>
        <w:t xml:space="preserve">Notice no. </w:t>
      </w:r>
      <w:r w:rsidR="00CC430D" w:rsidRPr="00CC430D">
        <w:rPr>
          <w:rFonts w:ascii="Times New Roman" w:hAnsi="Times New Roman"/>
          <w:sz w:val="24"/>
          <w:szCs w:val="24"/>
        </w:rPr>
        <w:t>509028-N-2020 of 04 February 2020</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Capital City of Warsaw — Municipal Road Authority ‘Programme for the Development of Bicycle Traffic in Warsaw’</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CONTRACT NOTICE — Services</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Notice publication:</w:t>
      </w:r>
      <w:r>
        <w:rPr>
          <w:rFonts w:ascii="Times New Roman" w:hAnsi="Times New Roman"/>
          <w:sz w:val="24"/>
          <w:szCs w:val="24"/>
        </w:rPr>
        <w:t xml:space="preserve"> Publication mandatory</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Notice concerns:</w:t>
      </w:r>
      <w:r>
        <w:rPr>
          <w:rFonts w:ascii="Times New Roman" w:hAnsi="Times New Roman"/>
          <w:sz w:val="24"/>
          <w:szCs w:val="24"/>
        </w:rPr>
        <w:t xml:space="preserve"> A public procurement</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The procurement is related to a project and/or programme financed by European Union funds</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Name of the project or programme</w:t>
      </w:r>
      <w:r>
        <w:rPr>
          <w:rFonts w:ascii="Times New Roman" w:hAnsi="Times New Roman"/>
          <w:sz w:val="24"/>
          <w:szCs w:val="24"/>
        </w:rPr>
        <w:t xml:space="preserve">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The contract is reserved to sheltered workshops and economic operators whose activities or the activities of their separate organizational units intended to perform the contract include the social and professional integration of persons being members of socially marginalized groups</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Specify the minimum percentage of employment of persons belonging to one or more of the categories mentioned in Article 22(2) of PPL Act, no less than 30% of the total of employment in sheltered workshops or contractors or their organizational units (in %) </w:t>
      </w:r>
      <w:r>
        <w:rPr>
          <w:rFonts w:ascii="Times New Roman" w:hAnsi="Times New Roman"/>
          <w:sz w:val="24"/>
          <w:szCs w:val="24"/>
        </w:rPr>
        <w:br/>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u w:val="single"/>
        </w:rPr>
        <w:t>SECTION I: CONTRACTING AUTHORITY</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The contract is awarded by a central purchasing body</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The contract is awarded by body entrusted by the contracting authority/authorities with the conduct of the proceedings</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Information about the body entrusted by the contracting authority/authorities with the conduct of the proceedings:</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The proceedings are conducted by multiple contracting authorities jointly</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If yes, specify the contracting authorities jointly awarding the contract and specify the addresses of their seats, national identification numbers and contact persons with contact data: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The contract involves joint procurement with contracting authorities from other European Union member states</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If awarding the contract jointly with contracting authorities from other member states of the European Union — applicable national public procurement law:</w:t>
      </w:r>
      <w:r>
        <w:rPr>
          <w:rFonts w:ascii="Times New Roman" w:hAnsi="Times New Roman"/>
          <w:sz w:val="24"/>
          <w:szCs w:val="24"/>
        </w:rPr>
        <w:t xml:space="preserve">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Additional information:</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 xml:space="preserve">I. 1) NAME AND ADDRESS: </w:t>
      </w:r>
      <w:r>
        <w:rPr>
          <w:rFonts w:ascii="Times New Roman" w:hAnsi="Times New Roman"/>
          <w:sz w:val="24"/>
          <w:szCs w:val="24"/>
        </w:rPr>
        <w:t xml:space="preserve">Capital City of Warsaw — Municipal Road Authority, national ID no. 00000000000000, </w:t>
      </w:r>
      <w:proofErr w:type="spellStart"/>
      <w:r>
        <w:rPr>
          <w:rFonts w:ascii="Times New Roman" w:hAnsi="Times New Roman"/>
          <w:sz w:val="24"/>
          <w:szCs w:val="24"/>
        </w:rPr>
        <w:t>ul</w:t>
      </w:r>
      <w:proofErr w:type="spellEnd"/>
      <w:r>
        <w:rPr>
          <w:rFonts w:ascii="Times New Roman" w:hAnsi="Times New Roman"/>
          <w:sz w:val="24"/>
          <w:szCs w:val="24"/>
        </w:rPr>
        <w:t xml:space="preserve">. </w:t>
      </w:r>
      <w:r w:rsidRPr="00370F55">
        <w:rPr>
          <w:rFonts w:ascii="Times New Roman" w:hAnsi="Times New Roman"/>
          <w:sz w:val="24"/>
          <w:szCs w:val="24"/>
          <w:lang w:val="pl-PL"/>
        </w:rPr>
        <w:t xml:space="preserve">Chmielna 120, 00-801 Warszawa, woj. mazowieckie, Poland, T: 00 48 22 55 89 000, E: zzp@zdm.waw.pl, F: 228 909 211. </w:t>
      </w:r>
      <w:r w:rsidRPr="00370F55">
        <w:rPr>
          <w:rFonts w:ascii="Times New Roman" w:hAnsi="Times New Roman"/>
          <w:sz w:val="24"/>
          <w:szCs w:val="24"/>
          <w:lang w:val="pl-PL"/>
        </w:rPr>
        <w:br/>
      </w:r>
      <w:r>
        <w:rPr>
          <w:rFonts w:ascii="Times New Roman" w:hAnsi="Times New Roman"/>
          <w:sz w:val="24"/>
          <w:szCs w:val="24"/>
        </w:rPr>
        <w:t xml:space="preserve">Website URL: www.zdm.waw.pl </w:t>
      </w:r>
      <w:r>
        <w:rPr>
          <w:rFonts w:ascii="Times New Roman" w:hAnsi="Times New Roman"/>
          <w:sz w:val="24"/>
          <w:szCs w:val="24"/>
        </w:rPr>
        <w:br/>
        <w:t xml:space="preserve">Buyer profile URL: </w:t>
      </w:r>
      <w:r>
        <w:rPr>
          <w:rFonts w:ascii="Times New Roman" w:hAnsi="Times New Roman"/>
          <w:sz w:val="24"/>
          <w:szCs w:val="24"/>
        </w:rPr>
        <w:br/>
        <w:t>Website URL where access can be gained to tools and devices or file formats that are not generally available</w:t>
      </w:r>
    </w:p>
    <w:p w:rsidR="00E8473A" w:rsidRPr="00370F55" w:rsidRDefault="00E8473A" w:rsidP="00E8473A">
      <w:pPr>
        <w:spacing w:after="0" w:line="276" w:lineRule="auto"/>
        <w:jc w:val="both"/>
        <w:rPr>
          <w:rFonts w:ascii="Times New Roman" w:eastAsia="Times New Roman" w:hAnsi="Times New Roman" w:cs="Times New Roman"/>
          <w:sz w:val="24"/>
          <w:szCs w:val="24"/>
          <w:lang w:eastAsia="en-GB"/>
        </w:rPr>
      </w:pPr>
    </w:p>
    <w:p w:rsidR="00665BB6" w:rsidRPr="00665BB6" w:rsidRDefault="00E8473A" w:rsidP="00665BB6">
      <w:pPr>
        <w:pStyle w:val="Akapitzlist"/>
        <w:numPr>
          <w:ilvl w:val="0"/>
          <w:numId w:val="2"/>
        </w:num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 xml:space="preserve">2) TYPE OF THE CONTRACTING AUTHORITY </w:t>
      </w:r>
      <w:r>
        <w:rPr>
          <w:rFonts w:ascii="Times New Roman" w:hAnsi="Times New Roman"/>
          <w:sz w:val="24"/>
          <w:szCs w:val="24"/>
        </w:rPr>
        <w:t xml:space="preserve">Local authority </w:t>
      </w:r>
    </w:p>
    <w:p w:rsidR="00E8473A" w:rsidRPr="00E8473A" w:rsidRDefault="00E8473A" w:rsidP="00665BB6">
      <w:pPr>
        <w:pStyle w:val="Akapitzlist"/>
        <w:spacing w:after="0" w:line="276" w:lineRule="auto"/>
        <w:ind w:left="1080"/>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I.3) JOINT AWARD OF THE CONTRACT </w:t>
      </w:r>
      <w:r>
        <w:rPr>
          <w:rFonts w:ascii="Times New Roman" w:hAnsi="Times New Roman"/>
          <w:b/>
          <w:bCs/>
          <w:i/>
          <w:iCs/>
          <w:sz w:val="24"/>
          <w:szCs w:val="24"/>
        </w:rPr>
        <w:t>(if available)</w:t>
      </w:r>
      <w:r>
        <w:rPr>
          <w:rFonts w:ascii="Times New Roman" w:hAnsi="Times New Roman"/>
          <w:b/>
          <w:bCs/>
          <w:sz w:val="24"/>
          <w:szCs w:val="24"/>
        </w:rPr>
        <w:t>:</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Allocation of responsibilities among the contracting authorities if awarding the contract jointly, including joint awarding with contracting authorities from other European Union member states (which of the contracting authority is responsible for the award; whether and in what scope the other contracting authorities are responsible for the proceedings; whether the contract will be awarded by each contracting authority individually or for and on behalf of other contracting authorities): </w:t>
      </w:r>
    </w:p>
    <w:p w:rsidR="00E8473A"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I.4) COMMUNICATION: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The procurement documents are available for unrestricted and full direct access, free of charge, at: (</w:t>
      </w:r>
      <w:r>
        <w:rPr>
          <w:rFonts w:ascii="Times New Roman" w:hAnsi="Times New Roman"/>
          <w:b/>
          <w:bCs/>
          <w:i/>
          <w:iCs/>
          <w:sz w:val="24"/>
          <w:szCs w:val="24"/>
        </w:rPr>
        <w:t>URL</w:t>
      </w:r>
      <w:r>
        <w:rPr>
          <w:rFonts w:ascii="Times New Roman" w:hAnsi="Times New Roman"/>
          <w:b/>
          <w:bCs/>
          <w:sz w:val="24"/>
          <w:szCs w:val="24"/>
        </w:rPr>
        <w:t>)</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Yes</w:t>
      </w:r>
      <w:r>
        <w:rPr>
          <w:rFonts w:ascii="Times New Roman" w:hAnsi="Times New Roman"/>
          <w:sz w:val="24"/>
          <w:szCs w:val="24"/>
        </w:rPr>
        <w:br/>
        <w:t>www.zdm.waw.pl</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Address of the website where the specification of the essential terms of the contract will be published:</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Yes</w:t>
      </w:r>
      <w:r>
        <w:rPr>
          <w:rFonts w:ascii="Times New Roman" w:hAnsi="Times New Roman"/>
          <w:sz w:val="24"/>
          <w:szCs w:val="24"/>
        </w:rPr>
        <w:br/>
        <w:t>www.zdm.waw.pl</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Access to the procurement documents is restricted. Further information can be obtained at: (</w:t>
      </w:r>
      <w:r>
        <w:rPr>
          <w:rFonts w:ascii="Times New Roman" w:hAnsi="Times New Roman"/>
          <w:b/>
          <w:bCs/>
          <w:i/>
          <w:iCs/>
          <w:sz w:val="24"/>
          <w:szCs w:val="24"/>
        </w:rPr>
        <w:t>URL</w:t>
      </w:r>
      <w:r>
        <w:rPr>
          <w:rFonts w:ascii="Times New Roman" w:hAnsi="Times New Roman"/>
          <w:b/>
          <w:bCs/>
          <w:sz w:val="24"/>
          <w:szCs w:val="24"/>
        </w:rPr>
        <w:t>)</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Tenders or requests to participate must be submitted:</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Electronically</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t xml:space="preserve">address </w:t>
      </w:r>
      <w:r>
        <w:rPr>
          <w:rFonts w:ascii="Times New Roman" w:hAnsi="Times New Roman"/>
          <w:sz w:val="24"/>
          <w:szCs w:val="24"/>
        </w:rPr>
        <w:br/>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Tenders or requests to participate can be sent in a different way:</w:t>
      </w:r>
      <w:r>
        <w:rPr>
          <w:rFonts w:ascii="Times New Roman" w:hAnsi="Times New Roman"/>
          <w:sz w:val="24"/>
          <w:szCs w:val="24"/>
        </w:rPr>
        <w:t xml:space="preserve"> </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lastRenderedPageBreak/>
        <w:br/>
        <w:t xml:space="preserve">No </w:t>
      </w:r>
      <w:r>
        <w:rPr>
          <w:rFonts w:ascii="Times New Roman" w:hAnsi="Times New Roman"/>
          <w:sz w:val="24"/>
          <w:szCs w:val="24"/>
        </w:rPr>
        <w:br/>
        <w:t xml:space="preserve">The other way: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Tenders or requests to participate must be sent in a different way:</w:t>
      </w:r>
      <w:r>
        <w:rPr>
          <w:rFonts w:ascii="Times New Roman" w:hAnsi="Times New Roman"/>
          <w:sz w:val="24"/>
          <w:szCs w:val="24"/>
        </w:rPr>
        <w:t xml:space="preserve"> </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Yes </w:t>
      </w:r>
      <w:r>
        <w:rPr>
          <w:rFonts w:ascii="Times New Roman" w:hAnsi="Times New Roman"/>
          <w:sz w:val="24"/>
          <w:szCs w:val="24"/>
        </w:rPr>
        <w:br/>
        <w:t xml:space="preserve">The other way: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The tender must be made in Polish in written form on pain of nullity. </w:t>
      </w:r>
      <w:r>
        <w:rPr>
          <w:rFonts w:ascii="Times New Roman" w:hAnsi="Times New Roman"/>
          <w:sz w:val="24"/>
          <w:szCs w:val="24"/>
        </w:rPr>
        <w:br/>
        <w:t xml:space="preserve">Address: </w:t>
      </w:r>
      <w:r>
        <w:rPr>
          <w:rFonts w:ascii="Times New Roman" w:hAnsi="Times New Roman"/>
          <w:sz w:val="24"/>
          <w:szCs w:val="24"/>
        </w:rPr>
        <w:br/>
      </w:r>
      <w:proofErr w:type="spellStart"/>
      <w:r>
        <w:rPr>
          <w:rFonts w:ascii="Times New Roman" w:hAnsi="Times New Roman"/>
          <w:sz w:val="24"/>
          <w:szCs w:val="24"/>
        </w:rPr>
        <w:t>Zarząd</w:t>
      </w:r>
      <w:proofErr w:type="spellEnd"/>
      <w:r>
        <w:rPr>
          <w:rFonts w:ascii="Times New Roman" w:hAnsi="Times New Roman"/>
          <w:sz w:val="24"/>
          <w:szCs w:val="24"/>
        </w:rPr>
        <w:t xml:space="preserve"> </w:t>
      </w:r>
      <w:proofErr w:type="spellStart"/>
      <w:r>
        <w:rPr>
          <w:rFonts w:ascii="Times New Roman" w:hAnsi="Times New Roman"/>
          <w:sz w:val="24"/>
          <w:szCs w:val="24"/>
        </w:rPr>
        <w:t>Dróg</w:t>
      </w:r>
      <w:proofErr w:type="spellEnd"/>
      <w:r>
        <w:rPr>
          <w:rFonts w:ascii="Times New Roman" w:hAnsi="Times New Roman"/>
          <w:sz w:val="24"/>
          <w:szCs w:val="24"/>
        </w:rPr>
        <w:t xml:space="preserve"> </w:t>
      </w:r>
      <w:proofErr w:type="spellStart"/>
      <w:r>
        <w:rPr>
          <w:rFonts w:ascii="Times New Roman" w:hAnsi="Times New Roman"/>
          <w:sz w:val="24"/>
          <w:szCs w:val="24"/>
        </w:rPr>
        <w:t>Miejskich</w:t>
      </w:r>
      <w:proofErr w:type="spellEnd"/>
      <w:r>
        <w:rPr>
          <w:rFonts w:ascii="Times New Roman" w:hAnsi="Times New Roman"/>
          <w:sz w:val="24"/>
          <w:szCs w:val="24"/>
        </w:rPr>
        <w:t xml:space="preserve"> (Municipal Road Authority), </w:t>
      </w:r>
      <w:proofErr w:type="spellStart"/>
      <w:r>
        <w:rPr>
          <w:rFonts w:ascii="Times New Roman" w:hAnsi="Times New Roman"/>
          <w:sz w:val="24"/>
          <w:szCs w:val="24"/>
        </w:rPr>
        <w:t>ul</w:t>
      </w:r>
      <w:proofErr w:type="spellEnd"/>
      <w:r>
        <w:rPr>
          <w:rFonts w:ascii="Times New Roman" w:hAnsi="Times New Roman"/>
          <w:sz w:val="24"/>
          <w:szCs w:val="24"/>
        </w:rPr>
        <w:t xml:space="preserve">. Chmielna 120, 00-801Warszawa (Warsaw, Poland), </w:t>
      </w:r>
      <w:proofErr w:type="spellStart"/>
      <w:r>
        <w:rPr>
          <w:rFonts w:ascii="Times New Roman" w:hAnsi="Times New Roman"/>
          <w:sz w:val="24"/>
          <w:szCs w:val="24"/>
        </w:rPr>
        <w:t>Kancelaria</w:t>
      </w:r>
      <w:proofErr w:type="spellEnd"/>
      <w:r>
        <w:rPr>
          <w:rFonts w:ascii="Times New Roman" w:hAnsi="Times New Roman"/>
          <w:sz w:val="24"/>
          <w:szCs w:val="24"/>
        </w:rPr>
        <w:t xml:space="preserve"> (Bureau)</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Electronic communication requires the use of tools and devices or file formats that are not generally available</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t>Unrestricted and full access to these tools and devices is possible, free of charge, at: (</w:t>
      </w:r>
      <w:r>
        <w:rPr>
          <w:rFonts w:ascii="Times New Roman" w:hAnsi="Times New Roman"/>
          <w:i/>
          <w:iCs/>
          <w:sz w:val="24"/>
          <w:szCs w:val="24"/>
        </w:rPr>
        <w:t>URL</w:t>
      </w:r>
      <w:r>
        <w:rPr>
          <w:rFonts w:ascii="Times New Roman" w:hAnsi="Times New Roman"/>
          <w:sz w:val="24"/>
          <w:szCs w:val="24"/>
        </w:rPr>
        <w:t xml:space="preserve">)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u w:val="single"/>
        </w:rPr>
        <w:t>SECTION II: OBJECT</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II.1) Title attributed to the contract by the contracting authority </w:t>
      </w:r>
      <w:r>
        <w:rPr>
          <w:rFonts w:ascii="Times New Roman" w:hAnsi="Times New Roman"/>
          <w:sz w:val="24"/>
          <w:szCs w:val="24"/>
        </w:rPr>
        <w:t xml:space="preserve">‘Programme for the Development of Bicycle Traffic in Warsaw’ </w:t>
      </w:r>
    </w:p>
    <w:p w:rsidR="00E8473A" w:rsidRPr="00370F55" w:rsidRDefault="00E8473A" w:rsidP="00E8473A">
      <w:pPr>
        <w:spacing w:after="0" w:line="276" w:lineRule="auto"/>
        <w:jc w:val="both"/>
        <w:rPr>
          <w:rFonts w:ascii="Times New Roman" w:eastAsia="Times New Roman" w:hAnsi="Times New Roman" w:cs="Times New Roman"/>
          <w:sz w:val="24"/>
          <w:szCs w:val="24"/>
          <w:lang w:val="de-DE"/>
        </w:rPr>
      </w:pPr>
      <w:r w:rsidRPr="00370F55">
        <w:rPr>
          <w:rFonts w:ascii="Times New Roman" w:hAnsi="Times New Roman"/>
          <w:sz w:val="24"/>
          <w:szCs w:val="24"/>
          <w:lang w:val="de-DE"/>
        </w:rPr>
        <w:br/>
      </w:r>
      <w:r w:rsidRPr="00370F55">
        <w:rPr>
          <w:rFonts w:ascii="Times New Roman" w:hAnsi="Times New Roman"/>
          <w:b/>
          <w:bCs/>
          <w:sz w:val="24"/>
          <w:szCs w:val="24"/>
          <w:lang w:val="de-DE"/>
        </w:rPr>
        <w:t xml:space="preserve">Reference </w:t>
      </w:r>
      <w:proofErr w:type="spellStart"/>
      <w:r w:rsidRPr="00370F55">
        <w:rPr>
          <w:rFonts w:ascii="Times New Roman" w:hAnsi="Times New Roman"/>
          <w:b/>
          <w:bCs/>
          <w:sz w:val="24"/>
          <w:szCs w:val="24"/>
          <w:lang w:val="de-DE"/>
        </w:rPr>
        <w:t>number</w:t>
      </w:r>
      <w:proofErr w:type="spellEnd"/>
      <w:r w:rsidRPr="00370F55">
        <w:rPr>
          <w:rFonts w:ascii="Times New Roman" w:hAnsi="Times New Roman"/>
          <w:b/>
          <w:bCs/>
          <w:sz w:val="24"/>
          <w:szCs w:val="24"/>
          <w:lang w:val="de-DE"/>
        </w:rPr>
        <w:t xml:space="preserve">: </w:t>
      </w:r>
      <w:r w:rsidR="00DA0257">
        <w:rPr>
          <w:rFonts w:ascii="Times New Roman" w:hAnsi="Times New Roman"/>
          <w:sz w:val="24"/>
          <w:szCs w:val="24"/>
          <w:lang w:val="de-DE"/>
        </w:rPr>
        <w:t>ZDM/UM/DZP/119/PN/99</w:t>
      </w:r>
      <w:r w:rsidRPr="00370F55">
        <w:rPr>
          <w:rFonts w:ascii="Times New Roman" w:hAnsi="Times New Roman"/>
          <w:sz w:val="24"/>
          <w:szCs w:val="24"/>
          <w:lang w:val="de-DE"/>
        </w:rPr>
        <w:t xml:space="preserve">/19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sidRPr="00370F55">
        <w:rPr>
          <w:rFonts w:ascii="Times New Roman" w:hAnsi="Times New Roman"/>
          <w:sz w:val="24"/>
          <w:szCs w:val="24"/>
        </w:rPr>
        <w:br/>
      </w:r>
      <w:r>
        <w:rPr>
          <w:rFonts w:ascii="Times New Roman" w:hAnsi="Times New Roman"/>
          <w:b/>
          <w:bCs/>
          <w:sz w:val="24"/>
          <w:szCs w:val="24"/>
        </w:rPr>
        <w:t>Technical dialogue was conducted prior to the award of the contract</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II.2) Type of contract: </w:t>
      </w:r>
      <w:r>
        <w:rPr>
          <w:rFonts w:ascii="Times New Roman" w:hAnsi="Times New Roman"/>
          <w:sz w:val="24"/>
          <w:szCs w:val="24"/>
        </w:rPr>
        <w:t xml:space="preserve">Services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II.3) Information about lots</w:t>
      </w:r>
      <w:r>
        <w:rPr>
          <w:rFonts w:ascii="Times New Roman" w:hAnsi="Times New Roman"/>
          <w:sz w:val="24"/>
          <w:szCs w:val="24"/>
        </w:rPr>
        <w:t xml:space="preserve"> </w:t>
      </w:r>
      <w:r>
        <w:rPr>
          <w:rFonts w:ascii="Times New Roman" w:hAnsi="Times New Roman"/>
          <w:sz w:val="24"/>
          <w:szCs w:val="24"/>
        </w:rPr>
        <w:br/>
        <w:t>This contract is divided into lots:</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r>
      <w:r>
        <w:rPr>
          <w:rFonts w:ascii="Times New Roman" w:hAnsi="Times New Roman"/>
          <w:b/>
          <w:bCs/>
          <w:sz w:val="24"/>
          <w:szCs w:val="24"/>
        </w:rPr>
        <w:t>Tenders or requests to participate may be submitted for:</w:t>
      </w:r>
      <w:r>
        <w:rPr>
          <w:rFonts w:ascii="Times New Roman" w:hAnsi="Times New Roman"/>
          <w:sz w:val="24"/>
          <w:szCs w:val="24"/>
        </w:rPr>
        <w:t xml:space="preserve">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p>
    <w:p w:rsidR="00E8473A"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The Contracting Authority reserves the right to award contracts combining the following lots or groups of lots: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Maximum number of lots that may be awarded to one Tenderer:</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II.4) Short description of the object of the contract </w:t>
      </w:r>
      <w:r>
        <w:rPr>
          <w:rFonts w:ascii="Times New Roman" w:hAnsi="Times New Roman"/>
          <w:i/>
          <w:iCs/>
          <w:sz w:val="24"/>
          <w:szCs w:val="24"/>
        </w:rPr>
        <w:t xml:space="preserve">(size, scope, type and number of supplies, </w:t>
      </w:r>
      <w:r>
        <w:rPr>
          <w:rFonts w:ascii="Times New Roman" w:hAnsi="Times New Roman"/>
          <w:i/>
          <w:iCs/>
          <w:sz w:val="24"/>
          <w:szCs w:val="24"/>
        </w:rPr>
        <w:lastRenderedPageBreak/>
        <w:t>services or construction works or indication of needs and requirements)</w:t>
      </w:r>
      <w:r>
        <w:rPr>
          <w:rFonts w:ascii="Times New Roman" w:hAnsi="Times New Roman"/>
          <w:b/>
          <w:bCs/>
          <w:sz w:val="24"/>
          <w:szCs w:val="24"/>
        </w:rPr>
        <w:t xml:space="preserve">, and for innovative partnership — specification of demand for the innovative product, service or construction works: </w:t>
      </w:r>
    </w:p>
    <w:p w:rsidR="00E8473A" w:rsidRPr="00E8473A" w:rsidRDefault="00E8473A" w:rsidP="00E8473A">
      <w:pPr>
        <w:spacing w:line="360" w:lineRule="atLeast"/>
        <w:jc w:val="both"/>
        <w:rPr>
          <w:rFonts w:ascii="Times New Roman" w:hAnsi="Times New Roman" w:cs="Times New Roman"/>
        </w:rPr>
      </w:pPr>
      <w:r>
        <w:rPr>
          <w:rFonts w:ascii="Times New Roman" w:hAnsi="Times New Roman"/>
        </w:rPr>
        <w:t>The object of the contract is a study titled: ‘Programme for the Development of Bicycle Traffic in Warsaw’ composed of 5 complementary parts:</w:t>
      </w:r>
    </w:p>
    <w:p w:rsidR="00E8473A" w:rsidRPr="00E8473A" w:rsidRDefault="00E8473A" w:rsidP="00E8473A">
      <w:pPr>
        <w:pStyle w:val="Akapitzlist"/>
        <w:numPr>
          <w:ilvl w:val="0"/>
          <w:numId w:val="1"/>
        </w:numPr>
        <w:spacing w:before="120" w:line="300" w:lineRule="auto"/>
        <w:jc w:val="both"/>
        <w:rPr>
          <w:rFonts w:ascii="Times New Roman" w:hAnsi="Times New Roman" w:cs="Times New Roman"/>
        </w:rPr>
      </w:pPr>
      <w:r>
        <w:rPr>
          <w:rFonts w:ascii="Times New Roman" w:hAnsi="Times New Roman"/>
        </w:rPr>
        <w:t>diagnosis of the existing condition and evaluation of the implementation of the ‘Programme for the Development of Bicycle Traffic in Warsaw by 2020’;</w:t>
      </w:r>
    </w:p>
    <w:p w:rsidR="00E8473A" w:rsidRPr="00E8473A" w:rsidRDefault="00E8473A" w:rsidP="00E8473A">
      <w:pPr>
        <w:pStyle w:val="Akapitzlist"/>
        <w:numPr>
          <w:ilvl w:val="0"/>
          <w:numId w:val="1"/>
        </w:numPr>
        <w:spacing w:before="120" w:line="300" w:lineRule="auto"/>
        <w:jc w:val="both"/>
        <w:rPr>
          <w:rFonts w:ascii="Times New Roman" w:hAnsi="Times New Roman" w:cs="Times New Roman"/>
        </w:rPr>
      </w:pPr>
      <w:r>
        <w:rPr>
          <w:rFonts w:ascii="Times New Roman" w:hAnsi="Times New Roman"/>
        </w:rPr>
        <w:t>public consultations;</w:t>
      </w:r>
    </w:p>
    <w:p w:rsidR="00E8473A" w:rsidRPr="00E8473A" w:rsidRDefault="00E8473A" w:rsidP="00E8473A">
      <w:pPr>
        <w:pStyle w:val="Akapitzlist"/>
        <w:numPr>
          <w:ilvl w:val="0"/>
          <w:numId w:val="1"/>
        </w:numPr>
        <w:spacing w:before="120" w:line="300" w:lineRule="auto"/>
        <w:jc w:val="both"/>
        <w:rPr>
          <w:rFonts w:ascii="Times New Roman" w:hAnsi="Times New Roman" w:cs="Times New Roman"/>
        </w:rPr>
      </w:pPr>
      <w:r>
        <w:rPr>
          <w:rFonts w:ascii="Times New Roman" w:hAnsi="Times New Roman"/>
        </w:rPr>
        <w:t>target layout of bicycle routes;</w:t>
      </w:r>
    </w:p>
    <w:p w:rsidR="00E8473A" w:rsidRPr="00E8473A" w:rsidRDefault="00E8473A" w:rsidP="00E8473A">
      <w:pPr>
        <w:pStyle w:val="Akapitzlist"/>
        <w:numPr>
          <w:ilvl w:val="0"/>
          <w:numId w:val="1"/>
        </w:numPr>
        <w:spacing w:before="120" w:line="300" w:lineRule="auto"/>
        <w:jc w:val="both"/>
        <w:rPr>
          <w:rFonts w:ascii="Times New Roman" w:hAnsi="Times New Roman" w:cs="Times New Roman"/>
        </w:rPr>
      </w:pPr>
      <w:r>
        <w:rPr>
          <w:rFonts w:ascii="Times New Roman" w:hAnsi="Times New Roman"/>
        </w:rPr>
        <w:t>Programme for the Development of Bicycle Traffic for years 2020–2030 and beyond;</w:t>
      </w:r>
    </w:p>
    <w:p w:rsidR="00E8473A" w:rsidRPr="00E8473A" w:rsidRDefault="00E8473A" w:rsidP="00E8473A">
      <w:pPr>
        <w:pStyle w:val="Akapitzlist"/>
        <w:numPr>
          <w:ilvl w:val="0"/>
          <w:numId w:val="1"/>
        </w:numPr>
        <w:spacing w:before="120" w:line="300" w:lineRule="auto"/>
        <w:jc w:val="both"/>
        <w:rPr>
          <w:rFonts w:ascii="Times New Roman" w:hAnsi="Times New Roman" w:cs="Times New Roman"/>
        </w:rPr>
      </w:pPr>
      <w:r>
        <w:rPr>
          <w:rFonts w:ascii="Times New Roman" w:hAnsi="Times New Roman"/>
        </w:rPr>
        <w:t>syntheses.</w:t>
      </w:r>
      <w:r>
        <w:rPr>
          <w:rFonts w:ascii="Times New Roman" w:hAnsi="Times New Roman"/>
          <w:sz w:val="24"/>
          <w:szCs w:val="24"/>
        </w:rPr>
        <w:t xml:space="preserve"> </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Estimated value of the contract exceeds the equivalent of EUR 30,000 but does not exceed the equivalent of EUR 221,000 </w:t>
      </w:r>
    </w:p>
    <w:p w:rsidR="00E8473A" w:rsidRPr="00370F55" w:rsidRDefault="00E8473A" w:rsidP="00E8473A">
      <w:pPr>
        <w:spacing w:after="0" w:line="276" w:lineRule="auto"/>
        <w:jc w:val="both"/>
        <w:rPr>
          <w:rFonts w:ascii="Times New Roman" w:eastAsia="Times New Roman" w:hAnsi="Times New Roman" w:cs="Times New Roman"/>
          <w:sz w:val="24"/>
          <w:szCs w:val="24"/>
          <w:lang w:eastAsia="en-GB"/>
        </w:rPr>
      </w:pP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 xml:space="preserve">II.5) Main CPV: </w:t>
      </w:r>
      <w:r>
        <w:rPr>
          <w:rFonts w:ascii="Times New Roman" w:hAnsi="Times New Roman"/>
          <w:sz w:val="24"/>
          <w:szCs w:val="24"/>
        </w:rPr>
        <w:t xml:space="preserve">73200000-4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Additional CPVs: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8473A" w:rsidRPr="00E8473A" w:rsidTr="00E8473A">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CPV</w:t>
            </w:r>
          </w:p>
        </w:tc>
      </w:tr>
      <w:tr w:rsidR="00E8473A" w:rsidRPr="00E8473A" w:rsidTr="00E8473A">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79300000-7</w:t>
            </w:r>
          </w:p>
        </w:tc>
      </w:tr>
    </w:tbl>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II.6) Total value of the procurement </w:t>
      </w:r>
      <w:r>
        <w:rPr>
          <w:rFonts w:ascii="Times New Roman" w:hAnsi="Times New Roman"/>
          <w:i/>
          <w:iCs/>
          <w:sz w:val="24"/>
          <w:szCs w:val="24"/>
        </w:rPr>
        <w:t>(if the contracting authority is providing information about the value of the contract)</w:t>
      </w:r>
      <w:r>
        <w:rPr>
          <w:rFonts w:ascii="Times New Roman" w:hAnsi="Times New Roman"/>
          <w:sz w:val="24"/>
          <w:szCs w:val="24"/>
        </w:rPr>
        <w:t xml:space="preserve">: </w:t>
      </w:r>
      <w:r>
        <w:rPr>
          <w:rFonts w:ascii="Times New Roman" w:hAnsi="Times New Roman"/>
          <w:sz w:val="24"/>
          <w:szCs w:val="24"/>
        </w:rPr>
        <w:br/>
        <w:t xml:space="preserve">Value excluding VAT: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Current:</w:t>
      </w:r>
      <w:r>
        <w:rPr>
          <w:rFonts w:ascii="Times New Roman" w:hAnsi="Times New Roman"/>
          <w:sz w:val="24"/>
          <w:szCs w:val="24"/>
        </w:rPr>
        <w:br/>
      </w:r>
      <w:r>
        <w:rPr>
          <w:rFonts w:ascii="Times New Roman" w:hAnsi="Times New Roman"/>
          <w:i/>
          <w:iCs/>
          <w:sz w:val="24"/>
          <w:szCs w:val="24"/>
        </w:rPr>
        <w:t>(for framework agreements or dynamic purchasing systems — estimated total maximum value for the entire duration of the framework agreement or dynamic purchasing system)</w:t>
      </w:r>
    </w:p>
    <w:p w:rsidR="00E8473A"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II.7) Whether contracts referred to in Article 67(1)(6 and 7) or Article 134(6)(3) of PPL Act are expected to be granted: </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No</w:t>
      </w:r>
      <w:r>
        <w:rPr>
          <w:rFonts w:ascii="Times New Roman" w:hAnsi="Times New Roman"/>
          <w:sz w:val="24"/>
          <w:szCs w:val="24"/>
        </w:rPr>
        <w:br/>
        <w:t xml:space="preserve">Specification of the object, size or scope and terms on which contracts referred to in Article 67(1)(6 and 7) or Article 134(6)(3) of PPL Act are expected to be granted: </w:t>
      </w:r>
      <w:r>
        <w:rPr>
          <w:rFonts w:ascii="Times New Roman" w:hAnsi="Times New Roman"/>
          <w:sz w:val="24"/>
          <w:szCs w:val="24"/>
        </w:rPr>
        <w:br/>
      </w:r>
      <w:r>
        <w:rPr>
          <w:rFonts w:ascii="Times New Roman" w:hAnsi="Times New Roman"/>
          <w:b/>
          <w:bCs/>
          <w:sz w:val="24"/>
          <w:szCs w:val="24"/>
        </w:rPr>
        <w:t>II.8) Duration of the contract, framework agreement or dynamic purchasing system:</w:t>
      </w:r>
      <w:r>
        <w:rPr>
          <w:rFonts w:ascii="Times New Roman" w:hAnsi="Times New Roman"/>
          <w:sz w:val="24"/>
          <w:szCs w:val="24"/>
        </w:rPr>
        <w:t xml:space="preserve"> </w:t>
      </w:r>
      <w:r>
        <w:rPr>
          <w:rFonts w:ascii="Times New Roman" w:hAnsi="Times New Roman"/>
          <w:sz w:val="24"/>
          <w:szCs w:val="24"/>
        </w:rPr>
        <w:br/>
        <w:t>months:   </w:t>
      </w:r>
      <w:r>
        <w:rPr>
          <w:rFonts w:ascii="Times New Roman" w:hAnsi="Times New Roman"/>
          <w:i/>
          <w:iCs/>
          <w:sz w:val="24"/>
          <w:szCs w:val="24"/>
        </w:rPr>
        <w:t xml:space="preserve"> or </w:t>
      </w:r>
      <w:r>
        <w:rPr>
          <w:rFonts w:ascii="Times New Roman" w:hAnsi="Times New Roman"/>
          <w:b/>
          <w:bCs/>
          <w:sz w:val="24"/>
          <w:szCs w:val="24"/>
        </w:rPr>
        <w:t>days:</w:t>
      </w:r>
      <w:r>
        <w:rPr>
          <w:rFonts w:ascii="Times New Roman" w:hAnsi="Times New Roman"/>
          <w:sz w:val="24"/>
          <w:szCs w:val="24"/>
        </w:rPr>
        <w:t xml:space="preserve">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t>210</w:t>
      </w:r>
      <w:r>
        <w:rPr>
          <w:rFonts w:ascii="Times New Roman" w:hAnsi="Times New Roman"/>
          <w:sz w:val="24"/>
          <w:szCs w:val="24"/>
        </w:rPr>
        <w:br/>
      </w:r>
      <w:r>
        <w:rPr>
          <w:rFonts w:ascii="Times New Roman" w:hAnsi="Times New Roman"/>
          <w:i/>
          <w:iCs/>
          <w:sz w:val="24"/>
          <w:szCs w:val="24"/>
        </w:rPr>
        <w:t>or</w:t>
      </w:r>
      <w:r>
        <w:rPr>
          <w:rFonts w:ascii="Times New Roman" w:hAnsi="Times New Roman"/>
          <w:sz w:val="24"/>
          <w:szCs w:val="24"/>
        </w:rPr>
        <w:br/>
      </w:r>
      <w:r>
        <w:rPr>
          <w:rFonts w:ascii="Times New Roman" w:hAnsi="Times New Roman"/>
          <w:b/>
          <w:bCs/>
          <w:sz w:val="24"/>
          <w:szCs w:val="24"/>
        </w:rPr>
        <w:t xml:space="preserve">start: </w:t>
      </w:r>
      <w:r>
        <w:rPr>
          <w:rFonts w:ascii="Times New Roman" w:hAnsi="Times New Roman"/>
          <w:sz w:val="24"/>
          <w:szCs w:val="24"/>
        </w:rPr>
        <w:t> </w:t>
      </w:r>
      <w:r>
        <w:rPr>
          <w:rFonts w:ascii="Times New Roman" w:hAnsi="Times New Roman"/>
          <w:i/>
          <w:iCs/>
          <w:sz w:val="24"/>
          <w:szCs w:val="24"/>
        </w:rPr>
        <w:t xml:space="preserve"> or </w:t>
      </w:r>
      <w:r>
        <w:rPr>
          <w:rFonts w:ascii="Times New Roman" w:hAnsi="Times New Roman"/>
          <w:b/>
          <w:bCs/>
          <w:sz w:val="24"/>
          <w:szCs w:val="24"/>
        </w:rPr>
        <w:t xml:space="preserve">end: </w:t>
      </w:r>
    </w:p>
    <w:p w:rsidR="00E8473A"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II.9) Additional information:</w:t>
      </w:r>
    </w:p>
    <w:p w:rsidR="005946D5" w:rsidRPr="00370F55" w:rsidRDefault="005946D5" w:rsidP="00E8473A">
      <w:pPr>
        <w:spacing w:after="0" w:line="276" w:lineRule="auto"/>
        <w:jc w:val="both"/>
        <w:rPr>
          <w:rFonts w:ascii="Times New Roman" w:eastAsia="Times New Roman" w:hAnsi="Times New Roman" w:cs="Times New Roman"/>
          <w:sz w:val="24"/>
          <w:szCs w:val="24"/>
          <w:lang w:eastAsia="en-GB"/>
        </w:rPr>
      </w:pP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u w:val="single"/>
        </w:rPr>
        <w:t>SECTION III: LEGAL, ECONOMIC, FINANCIAL AND TECHNICAL INFORMATION</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III.1) CONDITIONS FOR PARTICIPATION</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III.1.1) Competence or qualifications to pursue specific professional activity, if arising from separate provisions</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List of criteria: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Additional information: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III.1.2) Economic and financial standing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t xml:space="preserve">List of criteria: This contract is reserved to Tenderers meeting the following criteria for participation referring to the economic or financial standing, viz.: 1. The Tenderer is insured against civil liability in respect of the activity relating to the object of this contract, to a </w:t>
      </w:r>
      <w:r w:rsidR="00DA0257">
        <w:rPr>
          <w:rFonts w:ascii="Times New Roman" w:hAnsi="Times New Roman"/>
          <w:sz w:val="24"/>
          <w:szCs w:val="24"/>
        </w:rPr>
        <w:t>guarantee sum of at least PLN 100</w:t>
      </w:r>
      <w:r>
        <w:rPr>
          <w:rFonts w:ascii="Times New Roman" w:hAnsi="Times New Roman"/>
          <w:sz w:val="24"/>
          <w:szCs w:val="24"/>
        </w:rPr>
        <w:t>,00</w:t>
      </w:r>
      <w:r w:rsidR="00370F55">
        <w:rPr>
          <w:rFonts w:ascii="Times New Roman" w:hAnsi="Times New Roman"/>
          <w:sz w:val="24"/>
          <w:szCs w:val="24"/>
        </w:rPr>
        <w:t xml:space="preserve">0.00 (say: </w:t>
      </w:r>
      <w:r w:rsidR="00DA0257">
        <w:rPr>
          <w:rFonts w:ascii="Times New Roman" w:hAnsi="Times New Roman"/>
          <w:sz w:val="24"/>
          <w:szCs w:val="24"/>
        </w:rPr>
        <w:t>one hundred</w:t>
      </w:r>
      <w:r w:rsidR="00370F55">
        <w:rPr>
          <w:rFonts w:ascii="Times New Roman" w:hAnsi="Times New Roman"/>
          <w:sz w:val="24"/>
          <w:szCs w:val="24"/>
        </w:rPr>
        <w:t xml:space="preserve"> thousand zloty</w:t>
      </w:r>
      <w:r>
        <w:rPr>
          <w:rFonts w:ascii="Times New Roman" w:hAnsi="Times New Roman"/>
          <w:sz w:val="24"/>
          <w:szCs w:val="24"/>
        </w:rPr>
        <w:t>s);</w:t>
      </w:r>
      <w:r>
        <w:rPr>
          <w:rFonts w:ascii="Times New Roman" w:hAnsi="Times New Roman"/>
          <w:sz w:val="24"/>
          <w:szCs w:val="24"/>
        </w:rPr>
        <w:br/>
        <w:t>Additional information</w:t>
      </w:r>
      <w:r>
        <w:rPr>
          <w:rFonts w:ascii="Times New Roman" w:hAnsi="Times New Roman"/>
          <w:sz w:val="24"/>
          <w:szCs w:val="24"/>
        </w:rPr>
        <w:br/>
        <w:t xml:space="preserve"> </w:t>
      </w:r>
      <w:r>
        <w:rPr>
          <w:rFonts w:ascii="Times New Roman" w:hAnsi="Times New Roman"/>
          <w:b/>
          <w:bCs/>
          <w:sz w:val="24"/>
          <w:szCs w:val="24"/>
        </w:rPr>
        <w:t xml:space="preserve">III.1.3) Technical and professional ability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List of criteria: </w:t>
      </w:r>
    </w:p>
    <w:p w:rsidR="00DA0257" w:rsidRDefault="00E8473A" w:rsidP="00E8473A">
      <w:pPr>
        <w:spacing w:after="0" w:line="276" w:lineRule="auto"/>
        <w:jc w:val="both"/>
        <w:rPr>
          <w:rFonts w:ascii="Times New Roman" w:hAnsi="Times New Roman"/>
          <w:sz w:val="24"/>
          <w:szCs w:val="24"/>
        </w:rPr>
      </w:pPr>
      <w:r>
        <w:rPr>
          <w:rFonts w:ascii="Times New Roman" w:hAnsi="Times New Roman"/>
          <w:sz w:val="24"/>
          <w:szCs w:val="24"/>
        </w:rPr>
        <w:t xml:space="preserve">1. In the last 3 years prior to the time-limit for receipt of tenders, and if duration of the business activity is shorter, then in that period, the Tenderer has developed a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 Programme for the development of the bicycle traffic of a city or urban area above 200 thousand inhabitants or other strategic document of planning nature, related as to its object to the development of bicycle traffic for an urban area above 200 thousand inhabitants, in the number of 1 such document. </w:t>
      </w:r>
    </w:p>
    <w:p w:rsidR="00DA0257" w:rsidRDefault="00E8473A" w:rsidP="00E8473A">
      <w:pPr>
        <w:spacing w:after="0" w:line="276" w:lineRule="auto"/>
        <w:jc w:val="both"/>
        <w:rPr>
          <w:rFonts w:ascii="Times New Roman" w:hAnsi="Times New Roman"/>
          <w:sz w:val="24"/>
          <w:szCs w:val="24"/>
        </w:rPr>
      </w:pPr>
      <w:r>
        <w:rPr>
          <w:rFonts w:ascii="Times New Roman" w:hAnsi="Times New Roman"/>
          <w:sz w:val="24"/>
          <w:szCs w:val="24"/>
        </w:rPr>
        <w:t xml:space="preserve">2. The Tenderer has persons available who hold suitable professional qualifications, licences, experience and education suitable for the positions that will be entrusted to them, in accordance with the list below: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 Position — Requirement number of persons — Duration of holding the required qualifications (in years) — Professional experience (number of comparable contracts/works or duration of service in the role) — basis for availability.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 Team Leader — 1 person — X — 2 years of experience as the leader of a team performing planning, research and related works connected with the development of bicycle traffic, pedestrian traffic — X.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2. Team preparing the study — a minimum of 2 people — X — 1 year of experience: participation in planning, research and related works connected with the development of bicycle traffic, pedestrian traffic — employment contract</w:t>
      </w:r>
      <w:r w:rsidR="00DA0257">
        <w:rPr>
          <w:rFonts w:ascii="Times New Roman" w:hAnsi="Times New Roman"/>
          <w:sz w:val="24"/>
          <w:szCs w:val="24"/>
        </w:rPr>
        <w:t>.</w:t>
      </w:r>
      <w:r>
        <w:rPr>
          <w:rFonts w:ascii="Times New Roman" w:hAnsi="Times New Roman"/>
          <w:sz w:val="24"/>
          <w:szCs w:val="24"/>
        </w:rPr>
        <w:t xml:space="preserve"> </w:t>
      </w:r>
    </w:p>
    <w:p w:rsidR="00DA0257" w:rsidRDefault="00DA0257" w:rsidP="00E8473A">
      <w:pPr>
        <w:spacing w:after="0" w:line="276" w:lineRule="auto"/>
        <w:jc w:val="both"/>
        <w:rPr>
          <w:rFonts w:ascii="Times New Roman" w:hAnsi="Times New Roman"/>
          <w:sz w:val="24"/>
          <w:szCs w:val="24"/>
        </w:rPr>
      </w:pPr>
    </w:p>
    <w:p w:rsidR="00E8473A" w:rsidRDefault="00DA0257" w:rsidP="00E8473A">
      <w:pPr>
        <w:spacing w:after="0" w:line="276" w:lineRule="auto"/>
        <w:jc w:val="both"/>
        <w:rPr>
          <w:rFonts w:ascii="Times New Roman" w:eastAsia="Times New Roman" w:hAnsi="Times New Roman" w:cs="Times New Roman"/>
          <w:sz w:val="24"/>
          <w:szCs w:val="24"/>
        </w:rPr>
      </w:pPr>
      <w:r w:rsidRPr="00DA0257">
        <w:rPr>
          <w:rFonts w:ascii="Times New Roman" w:hAnsi="Times New Roman"/>
          <w:sz w:val="24"/>
          <w:szCs w:val="24"/>
        </w:rPr>
        <w:t>The positions referred to above may also be entrusted to citizens of the Member States of the European Union, the Swiss Confederation and other countries of the European Economic Area, in accordance with art. 12a of the Construction Law and the provisions of the Act of 22 December 2015 on the principles of recognition of professional qualifications acquired in the Member States of the European Union (Journal of Laws of 2018, item 2272).</w:t>
      </w:r>
      <w:r w:rsidR="00E8473A">
        <w:rPr>
          <w:rFonts w:ascii="Times New Roman" w:hAnsi="Times New Roman"/>
          <w:sz w:val="24"/>
          <w:szCs w:val="24"/>
        </w:rPr>
        <w:br/>
        <w:t xml:space="preserve">The Contracting Authority requires the Tenderers to specify in the tender or request to participate the full legal names of persons performing activities in the implementation of the </w:t>
      </w:r>
      <w:r w:rsidR="00E8473A">
        <w:rPr>
          <w:rFonts w:ascii="Times New Roman" w:hAnsi="Times New Roman"/>
          <w:sz w:val="24"/>
          <w:szCs w:val="24"/>
        </w:rPr>
        <w:lastRenderedPageBreak/>
        <w:t>contract along with information on such persons’ professional qualifications or experience: No</w:t>
      </w:r>
      <w:r w:rsidR="00E8473A">
        <w:rPr>
          <w:rFonts w:ascii="Times New Roman" w:hAnsi="Times New Roman"/>
          <w:sz w:val="24"/>
          <w:szCs w:val="24"/>
        </w:rPr>
        <w:br/>
        <w:t>Additional information:</w:t>
      </w:r>
    </w:p>
    <w:p w:rsidR="005946D5" w:rsidRPr="00370F55" w:rsidRDefault="005946D5" w:rsidP="00E8473A">
      <w:pPr>
        <w:spacing w:after="0" w:line="276" w:lineRule="auto"/>
        <w:jc w:val="both"/>
        <w:rPr>
          <w:rFonts w:ascii="Times New Roman" w:eastAsia="Times New Roman" w:hAnsi="Times New Roman" w:cs="Times New Roman"/>
          <w:b/>
          <w:bCs/>
          <w:sz w:val="24"/>
          <w:szCs w:val="24"/>
          <w:lang w:eastAsia="en-GB"/>
        </w:rPr>
      </w:pP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III.2) GROUNDS OF EXCLUSION</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III.2.1) Grounds of exclusion specified in Article 24(1) PPL Act</w:t>
      </w:r>
      <w:r>
        <w:rPr>
          <w:rFonts w:ascii="Times New Roman" w:hAnsi="Times New Roman"/>
          <w:sz w:val="24"/>
          <w:szCs w:val="24"/>
        </w:rPr>
        <w:br/>
      </w:r>
      <w:r>
        <w:rPr>
          <w:rFonts w:ascii="Times New Roman" w:hAnsi="Times New Roman"/>
          <w:b/>
          <w:bCs/>
          <w:sz w:val="24"/>
          <w:szCs w:val="24"/>
        </w:rPr>
        <w:t>III.2.2) The Contracting Authority foresees excluding a Tenderer on the basis of Article 24(5) of PPL Act</w:t>
      </w:r>
      <w:r>
        <w:rPr>
          <w:rFonts w:ascii="Times New Roman" w:hAnsi="Times New Roman"/>
          <w:sz w:val="24"/>
          <w:szCs w:val="24"/>
        </w:rPr>
        <w:t xml:space="preserve"> Yes The Contracting Authority foresees the following optional exclusion grounds: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Yes (exclusion ground set out in Article 24(5)(1) PPL Act) </w:t>
      </w:r>
      <w:r>
        <w:rPr>
          <w:rFonts w:ascii="Times New Roman" w:hAnsi="Times New Roman"/>
          <w:sz w:val="24"/>
          <w:szCs w:val="24"/>
        </w:rPr>
        <w:br/>
        <w:t>Yes (exclusion ground set out in Article 24(5)(2) PPL Act)</w:t>
      </w:r>
      <w:r>
        <w:rPr>
          <w:rFonts w:ascii="Times New Roman" w:hAnsi="Times New Roman"/>
          <w:sz w:val="24"/>
          <w:szCs w:val="24"/>
        </w:rPr>
        <w:br/>
        <w:t xml:space="preserve">Yes (exclusion ground set out in Article 24(5)(4) PPL Act) </w:t>
      </w:r>
      <w:r>
        <w:rPr>
          <w:rFonts w:ascii="Times New Roman" w:hAnsi="Times New Roman"/>
          <w:sz w:val="24"/>
          <w:szCs w:val="24"/>
        </w:rPr>
        <w:br/>
      </w:r>
      <w:r>
        <w:rPr>
          <w:rFonts w:ascii="Times New Roman" w:hAnsi="Times New Roman"/>
          <w:sz w:val="24"/>
          <w:szCs w:val="24"/>
        </w:rPr>
        <w:br/>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III.3) LIST OF STATEMENTS SUBMITTED BY THE TENDERER FOR PRELIMINARY CONFIRMATION OF NOT BEING SUBJECT TO EXCLUSION AND OF MEETING THE PARTICIPATION CONDITIONS AND SELECTION CRITERIA</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Statement of not being subject to exclusion and of meeting the participation conditions </w:t>
      </w:r>
      <w:r>
        <w:rPr>
          <w:rFonts w:ascii="Times New Roman" w:hAnsi="Times New Roman"/>
          <w:sz w:val="24"/>
          <w:szCs w:val="24"/>
        </w:rPr>
        <w:br/>
        <w:t>Yes</w:t>
      </w:r>
      <w:r>
        <w:rPr>
          <w:rFonts w:ascii="Times New Roman" w:hAnsi="Times New Roman"/>
          <w:sz w:val="24"/>
          <w:szCs w:val="24"/>
        </w:rPr>
        <w:br/>
      </w:r>
      <w:r>
        <w:rPr>
          <w:rFonts w:ascii="Times New Roman" w:hAnsi="Times New Roman"/>
          <w:b/>
          <w:bCs/>
          <w:sz w:val="24"/>
          <w:szCs w:val="24"/>
        </w:rPr>
        <w:t xml:space="preserve">Statement of meeting the selection criteria </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No</w:t>
      </w:r>
    </w:p>
    <w:p w:rsidR="005946D5" w:rsidRPr="00370F55" w:rsidRDefault="005946D5" w:rsidP="00E8473A">
      <w:pPr>
        <w:spacing w:after="0" w:line="276" w:lineRule="auto"/>
        <w:jc w:val="both"/>
        <w:rPr>
          <w:rFonts w:ascii="Times New Roman" w:eastAsia="Times New Roman" w:hAnsi="Times New Roman" w:cs="Times New Roman"/>
          <w:b/>
          <w:bCs/>
          <w:sz w:val="24"/>
          <w:szCs w:val="24"/>
          <w:lang w:eastAsia="en-GB"/>
        </w:rPr>
      </w:pP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III.4) LIST OF STATEMENTS OR DOCUMENTS SUBMITTED BY THE TENDERER UPON THE CONTRACTING AUTHORITY’S DEMAND TO CONFIRM THE CIRCUMSTANCES REFERRED TO IN ARTICLE 25(1)(3) PPL ACT:</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The Contracting Authority will call upon the Tenderer with the highest-rated tender to submit within a set time-limit, not shorter than 5 days, statements or documents confirming the lack of grounds for exclusion, current as at the day of submission: To confirm the lack of grounds for exclusion under Article 24(5)(1) PPL Act — official copy from the appropriate register or Central Business Activity Registration and Information service, if separate provisions require entry in a register.</w:t>
      </w:r>
    </w:p>
    <w:p w:rsidR="005946D5" w:rsidRPr="00370F55" w:rsidRDefault="005946D5" w:rsidP="00E8473A">
      <w:pPr>
        <w:spacing w:after="0" w:line="276" w:lineRule="auto"/>
        <w:jc w:val="both"/>
        <w:rPr>
          <w:rFonts w:ascii="Times New Roman" w:eastAsia="Times New Roman" w:hAnsi="Times New Roman" w:cs="Times New Roman"/>
          <w:sz w:val="24"/>
          <w:szCs w:val="24"/>
          <w:lang w:eastAsia="en-GB"/>
        </w:rPr>
      </w:pPr>
    </w:p>
    <w:p w:rsidR="00E8473A"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III.5) LIST OF STATEMENTS OR DOCUMENTS SUBMITTED BY THE TENDERER UPON THE CONTRACTING AUTHORITY’S DEMAND TO CONFIRM THE CIRCUMSTANCES REFERRED TO IN ARTICLE 25(1)(1) PPL ACT</w:t>
      </w:r>
    </w:p>
    <w:p w:rsidR="005946D5" w:rsidRPr="00370F55" w:rsidRDefault="005946D5" w:rsidP="00E8473A">
      <w:pPr>
        <w:spacing w:after="0" w:line="276" w:lineRule="auto"/>
        <w:jc w:val="both"/>
        <w:rPr>
          <w:rFonts w:ascii="Times New Roman" w:eastAsia="Times New Roman" w:hAnsi="Times New Roman" w:cs="Times New Roman"/>
          <w:sz w:val="24"/>
          <w:szCs w:val="24"/>
          <w:lang w:eastAsia="en-GB"/>
        </w:rPr>
      </w:pPr>
    </w:p>
    <w:p w:rsidR="005946D5"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III.5.1) FOR MEETING THE PARTICIPATION CONDITIONS:</w:t>
      </w:r>
      <w:r>
        <w:rPr>
          <w:rFonts w:ascii="Times New Roman" w:hAnsi="Times New Roman"/>
          <w:sz w:val="24"/>
          <w:szCs w:val="24"/>
        </w:rPr>
        <w:t xml:space="preserve"> </w:t>
      </w:r>
      <w:r>
        <w:rPr>
          <w:rFonts w:ascii="Times New Roman" w:hAnsi="Times New Roman"/>
          <w:sz w:val="24"/>
          <w:szCs w:val="24"/>
        </w:rPr>
        <w:br/>
        <w:t xml:space="preserve">The Contracting Authority will call upon the Tenderer with the highest-rated tender to submit within a set time-limit, not shorter than 5 days, statements or documents confirming the circumstances of meeting the participation conditions, current as at the day of submission, i.e.: 1. documents confirming that the Tenderer has civil-liability insurance for activities relating to the object of this contract for the guarantee sum specified by the Contracting Authority (containing proof of the insurance payment); 2. list of services performed and, for periodic or continuous performances also in the process of being performed, in the last three years prior to </w:t>
      </w:r>
      <w:r>
        <w:rPr>
          <w:rFonts w:ascii="Times New Roman" w:hAnsi="Times New Roman"/>
          <w:sz w:val="24"/>
          <w:szCs w:val="24"/>
        </w:rPr>
        <w:lastRenderedPageBreak/>
        <w:t xml:space="preserve">the time-limit for the submission of tenders, and if the duration of the business activity is shorter, then in such duration, specifying the value, object, dates of performance and entities for whom the services have been performed. Attached with the aforementioned list should be proofs specifying whether the services included in the list have been adequately or are being adequately performed, provided that the aforementioned proofs can be references or other documents issued by the entity for whom the supplies or services have been performed, and for continuous or periodic performances are being performed, and if for a justified objective cause the Tenderer is unable to obtain such documents, then the Tenderer’s own statement; for periodic or continuous performances still in progress, references or other documents confirming the adequate performance thereof should be issued no earlier than 3 months prior to the time-limit for the submission of tenders; 3. list of persons assigned by the Tenderer to the performance of the public contract, along with information about such persons’ professional qualifications, licences, experience and education necessary for the performance of the public contract, as well as the scope of activities performed and information on the basis on which such persons are available to the Tenderer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III.5.2) FOR SELECTION CRITERIA:</w:t>
      </w:r>
      <w:r>
        <w:rPr>
          <w:rFonts w:ascii="Times New Roman" w:hAnsi="Times New Roman"/>
          <w:sz w:val="24"/>
          <w:szCs w:val="24"/>
        </w:rPr>
        <w:t xml:space="preserve">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III.6) LIST OF STATEMENTS OR DOCUMENTS SUBMITTED BY THE TENDERER UPON THE CONTRACTING AUTHORITY’S DEMAND TO CONFIRM THE CIRCUMSTANCES REFERRED TO IN ARTICLE 25(1)(2) PPL ACT</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III.7) OTHER DOCUMENTS NOT LISTED IN SECTION III.3) – III.6)</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 If for a justified cause the Tenderer cannot submit documents concerning the Tenderer’s financial or economic standing as required by the Contracting Authority, then the Tenderer may submit such a different document as will sufficiently confirm the meeting of the participation conditions described by the Contracting Authority.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 The Tenderer may in order to confirm meeting the participation conditions, in appropriate situations and in respect of a specific order or part thereof, rely on the technical or professional qualifications or financial or economic standing of other entities, irrespective of the nature of the Tenderer’s legal relationship with such entities.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2.1. A Tenderer relying on the resources of other entities, if such a Tenderer’s tender is the highest-rated, should submit in respect of such entities the same documents to confirm the lack of grounds of exclusion as the Tenderer has to submit, as well as the same documents for confirming the meeting of such participation conditions as the Tenderer demonstrates in reliance on such an entity’s resources.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2.2. A Tenderer relying on the resources or standing of other entities must prove to the Contracting Authority that in performing the contract the Tenderer will have available the necessary resources of such entities, including without limitation by submitting such entities’ commitment (original) to place the necessary resources for the purpose of the performance of the contract at the Tenderer’s disposal. The aforementioned commitment shall be submitted by the Tenderer whose tender is the highest-rated.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2.3. To determine whether a Tenderer relying on the ability or standing of other entities on terms set forth in Article 22a PPL Act will have the necessary resources available to the extent enabling the adequate performance of the public contract, and to evaluate whether the </w:t>
      </w:r>
      <w:r>
        <w:rPr>
          <w:rFonts w:ascii="Times New Roman" w:hAnsi="Times New Roman"/>
          <w:sz w:val="24"/>
          <w:szCs w:val="24"/>
        </w:rPr>
        <w:lastRenderedPageBreak/>
        <w:t xml:space="preserve">Tenderer’s relationship with such entities guarantees the actual access to such entities’ resources, the Contracting Authority requires documents specifying in particular: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2.3.1. the scope of the other entity’s resources available to the Tenderer;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2.3.2. the manner in which the other entity’s resources will be used by the Tender in the performance of the contract;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2.3.3. the scope and duration of the other entity’s participation in the performance of the contract;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2.3.4. whether the entity on whose ability the contractor relies in respect of the participation conditions concerning education, professional qualifications or experience will perform such construction works or services as the specified ability refers to. 2.4. If the technical or professional ability or economic or financial standing of the entity referred to in item 2 do not confirm that the Tenderer meets the participation conditions or that there are no grounds for the exclusion of such entities, the Contracting Authority shall require that the Tenderer, within such time-limit as may be set by the Contracting Authority: 1) replace such an entity with another entity or entities, or 2) commit to the personal performance of the appropriate part of the contract, if the Tenderer can demonstrate the technical or professional ability or financial or economic standing referred to in item 2.</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u w:val="single"/>
        </w:rPr>
        <w:t>SECTION IV: PROCEDURE</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IV.1) DESCRIPTION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IV.1.1) Type of procedure: </w:t>
      </w:r>
      <w:r>
        <w:rPr>
          <w:rFonts w:ascii="Times New Roman" w:hAnsi="Times New Roman"/>
          <w:sz w:val="24"/>
          <w:szCs w:val="24"/>
        </w:rPr>
        <w:t>Open procedure</w:t>
      </w:r>
      <w:r>
        <w:rPr>
          <w:rFonts w:ascii="Times New Roman" w:hAnsi="Times New Roman"/>
          <w:sz w:val="24"/>
          <w:szCs w:val="24"/>
        </w:rPr>
        <w:br/>
      </w:r>
      <w:r>
        <w:rPr>
          <w:rFonts w:ascii="Times New Roman" w:hAnsi="Times New Roman"/>
          <w:b/>
          <w:bCs/>
          <w:sz w:val="24"/>
          <w:szCs w:val="24"/>
        </w:rPr>
        <w:t>IV.1.2) The Contracting Authority demands a tendering security:</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t xml:space="preserve">Information about the tendering security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IV.1.3) Advance payments toward the performance of the contract are expected:</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t xml:space="preserve">Provide information about the granting of advance payments: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IV.1.4) Tenders must be presented in the form of electronic catalogues or include an electronic catalogue:</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t xml:space="preserve">Tenders may be presented in the form of electronic catalogues or include an electronic catalogue: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No</w:t>
      </w:r>
      <w:r>
        <w:rPr>
          <w:rFonts w:ascii="Times New Roman" w:hAnsi="Times New Roman"/>
          <w:sz w:val="24"/>
          <w:szCs w:val="24"/>
        </w:rPr>
        <w:br/>
        <w:t xml:space="preserve">Additional information: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IV.1.5.) Variants are required in the tender:</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t xml:space="preserve">Variants will be accepted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Submission of a variant tender is allowed only with the simultaneous submission of the base </w:t>
      </w:r>
      <w:r>
        <w:rPr>
          <w:rFonts w:ascii="Times New Roman" w:hAnsi="Times New Roman"/>
          <w:sz w:val="24"/>
          <w:szCs w:val="24"/>
        </w:rPr>
        <w:lastRenderedPageBreak/>
        <w:t xml:space="preserve">tender: </w:t>
      </w:r>
      <w:r>
        <w:rPr>
          <w:rFonts w:ascii="Times New Roman" w:hAnsi="Times New Roman"/>
          <w:sz w:val="24"/>
          <w:szCs w:val="24"/>
        </w:rPr>
        <w:br/>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 xml:space="preserve">IV.1.6) Information about the limits on the number of candidates to be invited </w:t>
      </w:r>
      <w:r>
        <w:rPr>
          <w:rFonts w:ascii="Times New Roman" w:hAnsi="Times New Roman"/>
          <w:sz w:val="24"/>
          <w:szCs w:val="24"/>
        </w:rPr>
        <w:br/>
      </w:r>
      <w:r>
        <w:rPr>
          <w:rFonts w:ascii="Times New Roman" w:hAnsi="Times New Roman"/>
          <w:i/>
          <w:iCs/>
          <w:sz w:val="24"/>
          <w:szCs w:val="24"/>
        </w:rPr>
        <w:t>(restricted procedure, negotiation with publication, competitive dialogue, innovative partnership)</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Number of candidates</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br/>
        <w:t xml:space="preserve">Expected minimum number of candidates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Maximum number of candidates</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 Criteria for the selection of candidates: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IV.1.7) Information about a framework agreement or a dynamic purchasing system:</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The procurement involves the establishment of a framework agreement: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The procurement involves a limitation of the number of participants to the framework agreement: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Envisaged maximum number of participants to the framework agreement: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Additional information: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The procurement involves the setting up of a dynamic purchasing system: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Address of the website where additional information concerning the dynamic purchasing system will be published: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Additional information: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As part of the framework agreement/dynamic purchasing system tenders may be presented in the form of electronic catalogues or include an electronic catalogue: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Information necessary to prepare tenders on the basis a framework agreement/dynamic purchasing systems will be gathered from the electronic catalogues submitted: </w:t>
      </w:r>
      <w:r>
        <w:rPr>
          <w:rFonts w:ascii="Times New Roman" w:hAnsi="Times New Roman"/>
          <w:sz w:val="24"/>
          <w:szCs w:val="24"/>
        </w:rPr>
        <w:br/>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IV.1.8) Electronic auction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An electronic auction will be used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i/>
          <w:iCs/>
          <w:sz w:val="24"/>
          <w:szCs w:val="24"/>
        </w:rPr>
        <w:t xml:space="preserve">(open procedure, restricted procedure, negotiation with publication) </w:t>
      </w:r>
      <w:r>
        <w:rPr>
          <w:rFonts w:ascii="Times New Roman" w:hAnsi="Times New Roman"/>
          <w:sz w:val="24"/>
          <w:szCs w:val="24"/>
        </w:rPr>
        <w:t xml:space="preserve">No </w:t>
      </w:r>
      <w:r>
        <w:rPr>
          <w:rFonts w:ascii="Times New Roman" w:hAnsi="Times New Roman"/>
          <w:sz w:val="24"/>
          <w:szCs w:val="24"/>
        </w:rPr>
        <w:br/>
        <w:t xml:space="preserve">Specify the URL of the website where the auction will be held: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 xml:space="preserve">Specify the elements of which the values will be the object of the electronic auction: </w:t>
      </w:r>
      <w:r>
        <w:rPr>
          <w:rFonts w:ascii="Times New Roman" w:hAnsi="Times New Roman"/>
          <w:sz w:val="24"/>
          <w:szCs w:val="24"/>
        </w:rPr>
        <w:br/>
      </w:r>
      <w:r>
        <w:rPr>
          <w:rFonts w:ascii="Times New Roman" w:hAnsi="Times New Roman"/>
          <w:b/>
          <w:bCs/>
          <w:sz w:val="24"/>
          <w:szCs w:val="24"/>
        </w:rPr>
        <w:t>Limitations as to the presented values arise from the description of the object of the contract:</w:t>
      </w:r>
      <w:r>
        <w:rPr>
          <w:rFonts w:ascii="Times New Roman" w:hAnsi="Times New Roman"/>
          <w:sz w:val="24"/>
          <w:szCs w:val="24"/>
        </w:rPr>
        <w:t xml:space="preserve">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Specify what information will be made available to the Tenderers during the electronic auction and for what duration: </w:t>
      </w:r>
      <w:r>
        <w:rPr>
          <w:rFonts w:ascii="Times New Roman" w:hAnsi="Times New Roman"/>
          <w:sz w:val="24"/>
          <w:szCs w:val="24"/>
        </w:rPr>
        <w:br/>
        <w:t xml:space="preserve">Information about the auction process: </w:t>
      </w:r>
      <w:r>
        <w:rPr>
          <w:rFonts w:ascii="Times New Roman" w:hAnsi="Times New Roman"/>
          <w:sz w:val="24"/>
          <w:szCs w:val="24"/>
        </w:rPr>
        <w:br/>
        <w:t xml:space="preserve">What is the expected manner of proceeding during the electronic auction and what will be the terms on which the Tenderers can bid (minimum bid increments): </w:t>
      </w:r>
      <w:r>
        <w:rPr>
          <w:rFonts w:ascii="Times New Roman" w:hAnsi="Times New Roman"/>
          <w:sz w:val="24"/>
          <w:szCs w:val="24"/>
        </w:rPr>
        <w:br/>
      </w:r>
      <w:r>
        <w:rPr>
          <w:rFonts w:ascii="Times New Roman" w:hAnsi="Times New Roman"/>
          <w:sz w:val="24"/>
          <w:szCs w:val="24"/>
        </w:rPr>
        <w:lastRenderedPageBreak/>
        <w:t xml:space="preserve">Information about the electronic equipment, solutions and technical specifications used for connectivity: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Requirements for the registration and identification of Tenderers in the electronic auction: </w:t>
      </w:r>
      <w:r>
        <w:rPr>
          <w:rFonts w:ascii="Times New Roman" w:hAnsi="Times New Roman"/>
          <w:sz w:val="24"/>
          <w:szCs w:val="24"/>
        </w:rPr>
        <w:br/>
        <w:t>Information about the number of stages of the auction and their duration:</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Duration: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Whether the Tenderers who do not submit new increments will qualify to the next stage: </w:t>
      </w:r>
      <w:r>
        <w:rPr>
          <w:rFonts w:ascii="Times New Roman" w:hAnsi="Times New Roman"/>
          <w:sz w:val="24"/>
          <w:szCs w:val="24"/>
        </w:rPr>
        <w:br/>
        <w:t xml:space="preserve">Terms of closure of the electronic auction: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IV.2) EVALUATION CRITERIA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IV.2.1) Criteria for the evaluation of tenders: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IV.2.2) Criteria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19"/>
        <w:gridCol w:w="737"/>
      </w:tblGrid>
      <w:tr w:rsidR="00E8473A" w:rsidRPr="00E8473A" w:rsidTr="00E8473A">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Criteria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Weight</w:t>
            </w:r>
          </w:p>
        </w:tc>
      </w:tr>
      <w:tr w:rsidR="00E8473A" w:rsidRPr="00E8473A" w:rsidTr="00E8473A">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tender price gross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665BB6"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55.00</w:t>
            </w:r>
          </w:p>
        </w:tc>
      </w:tr>
      <w:tr w:rsidR="00E8473A" w:rsidRPr="00E8473A" w:rsidTr="00E8473A">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preparation of an interactive map with multiple-choice selection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665BB6"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5.00</w:t>
            </w:r>
          </w:p>
        </w:tc>
      </w:tr>
      <w:tr w:rsidR="00E8473A" w:rsidRPr="00E8473A" w:rsidTr="00E8473A">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DA0257" w:rsidP="00E8473A">
            <w:pPr>
              <w:spacing w:after="0" w:line="276" w:lineRule="auto"/>
              <w:jc w:val="both"/>
              <w:rPr>
                <w:rFonts w:ascii="Times New Roman" w:eastAsia="Times New Roman" w:hAnsi="Times New Roman" w:cs="Times New Roman"/>
                <w:sz w:val="24"/>
                <w:szCs w:val="24"/>
              </w:rPr>
            </w:pPr>
            <w:r w:rsidRPr="00DA0257">
              <w:rPr>
                <w:rFonts w:ascii="Times New Roman" w:hAnsi="Times New Roman"/>
                <w:sz w:val="24"/>
                <w:szCs w:val="24"/>
              </w:rPr>
              <w:t>the team includes a person who in the last five years has participated in the performance of public contracts involving planning or strategic studies for the development of bicycle traffic in an urban area with more than 200 thousand inhabitants and estimated share of bicycle traffic in the modal split above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73A" w:rsidRPr="00E8473A" w:rsidRDefault="00665BB6"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40.00</w:t>
            </w:r>
          </w:p>
        </w:tc>
      </w:tr>
    </w:tbl>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IV.2.3) Use of the procedure in Article 24aa(1) of PPL Act </w:t>
      </w:r>
      <w:r>
        <w:rPr>
          <w:rFonts w:ascii="Times New Roman" w:hAnsi="Times New Roman"/>
          <w:sz w:val="24"/>
          <w:szCs w:val="24"/>
        </w:rPr>
        <w:t xml:space="preserve">(open tender) </w:t>
      </w:r>
      <w:r>
        <w:rPr>
          <w:rFonts w:ascii="Times New Roman" w:hAnsi="Times New Roman"/>
          <w:sz w:val="24"/>
          <w:szCs w:val="24"/>
        </w:rPr>
        <w:br/>
        <w:t xml:space="preserve">Yes </w:t>
      </w:r>
      <w:r>
        <w:rPr>
          <w:rFonts w:ascii="Times New Roman" w:hAnsi="Times New Roman"/>
          <w:sz w:val="24"/>
          <w:szCs w:val="24"/>
        </w:rPr>
        <w:br/>
      </w:r>
      <w:r>
        <w:rPr>
          <w:rFonts w:ascii="Times New Roman" w:hAnsi="Times New Roman"/>
          <w:b/>
          <w:bCs/>
          <w:sz w:val="24"/>
          <w:szCs w:val="24"/>
        </w:rPr>
        <w:t xml:space="preserve">IV.3) Negotiation with publication, competitive dialogue, innovative partnership </w:t>
      </w:r>
      <w:r>
        <w:rPr>
          <w:rFonts w:ascii="Times New Roman" w:hAnsi="Times New Roman"/>
          <w:sz w:val="24"/>
          <w:szCs w:val="24"/>
        </w:rPr>
        <w:br/>
      </w:r>
      <w:r>
        <w:rPr>
          <w:rFonts w:ascii="Times New Roman" w:hAnsi="Times New Roman"/>
          <w:b/>
          <w:bCs/>
          <w:sz w:val="24"/>
          <w:szCs w:val="24"/>
        </w:rPr>
        <w:t>IV.3.1) Information about negotiation with publication</w:t>
      </w:r>
      <w:r>
        <w:rPr>
          <w:rFonts w:ascii="Times New Roman" w:hAnsi="Times New Roman"/>
          <w:sz w:val="24"/>
          <w:szCs w:val="24"/>
        </w:rPr>
        <w:t xml:space="preserve">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Minimum requirements to be met by all tenders: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The contracting authority reserves the right to award the contract on the basis of the initial tenders without conducting negotiations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Recourse to staged procedure to gradually reduce the number of solutions to be discussed or tenders to be negotiated: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Provide information about the negotiation stages (including the number of stages):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Additional information: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IV.3.2) Information about competitive dialogue</w:t>
      </w:r>
      <w:r>
        <w:rPr>
          <w:rFonts w:ascii="Times New Roman" w:hAnsi="Times New Roman"/>
          <w:sz w:val="24"/>
          <w:szCs w:val="24"/>
        </w:rPr>
        <w:t xml:space="preserve">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 xml:space="preserve">Description of the contracting authority’s needs and requirements or information about how such a description can be obtained: </w:t>
      </w:r>
      <w:r>
        <w:rPr>
          <w:rFonts w:ascii="Times New Roman" w:hAnsi="Times New Roman"/>
          <w:sz w:val="24"/>
          <w:szCs w:val="24"/>
        </w:rPr>
        <w:br/>
        <w:t xml:space="preserve">Information about the value of the prizes for those Tenderers who submit solutions forming the basis for the submission of tenders during the competitive dialogue, if the contracting authority expects such prizes: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Initial timetable for the proceedings: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Recourse to staged procedure to reduce the number of solutions: </w:t>
      </w:r>
      <w:r>
        <w:rPr>
          <w:rFonts w:ascii="Times New Roman" w:hAnsi="Times New Roman"/>
          <w:sz w:val="24"/>
          <w:szCs w:val="24"/>
        </w:rPr>
        <w:br/>
        <w:t xml:space="preserve">Provide information about the dialogue stages: </w:t>
      </w:r>
    </w:p>
    <w:p w:rsidR="00665BB6" w:rsidRDefault="005946D5"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Additional information: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IV.3.3) Information about innovative partnership</w:t>
      </w:r>
      <w:r>
        <w:rPr>
          <w:rFonts w:ascii="Times New Roman" w:hAnsi="Times New Roman"/>
          <w:sz w:val="24"/>
          <w:szCs w:val="24"/>
        </w:rPr>
        <w:br/>
        <w:t xml:space="preserve">Elements of the description of the object of the contract defining the minimum requirements all tenders must meet: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Recourse to staged procedure to reduce the number of tenders being negotiated according to tender evaluation criteria specified in the specification of the essential terms of the contract: </w:t>
      </w:r>
      <w:r>
        <w:rPr>
          <w:rFonts w:ascii="Times New Roman" w:hAnsi="Times New Roman"/>
          <w:sz w:val="24"/>
          <w:szCs w:val="24"/>
        </w:rPr>
        <w:br/>
        <w:t xml:space="preserve">Additional information: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IV.4) Electronic auction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Address of the website where the electronic auction will be held:</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Address of the website where the description of the object of the contract in the electronic auction is available:</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Requirements concerning the registration and identification of Tenderers in the electronic auction, including technical requirements for IT devices:</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Procedure during the electronic auction, including minimum bid increments:</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Information about the number of stages of the auction and their duration:</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Duration: </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Tenderers who do not submit new increments will qualify to the next stage:</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Time-limit for requests to participate in the electronic auction: </w:t>
      </w:r>
      <w:r>
        <w:rPr>
          <w:rFonts w:ascii="Times New Roman" w:hAnsi="Times New Roman"/>
          <w:sz w:val="24"/>
          <w:szCs w:val="24"/>
        </w:rPr>
        <w:br/>
        <w:t xml:space="preserve">Date: hour: </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Time when the electronic auction will be opened:</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Time-limit and terms for closing the electronic auction:</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t>Provisions important to the parties that will be included in the public contract, or general terms of the contract, or model contract:</w:t>
      </w:r>
    </w:p>
    <w:p w:rsidR="00E8473A" w:rsidRP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Requirements concerning security for the adequate performance of the contract:</w:t>
      </w:r>
    </w:p>
    <w:p w:rsidR="00E8473A"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Additional information:</w:t>
      </w:r>
    </w:p>
    <w:p w:rsidR="00665BB6" w:rsidRPr="00E8473A" w:rsidRDefault="00665BB6" w:rsidP="00E8473A">
      <w:pPr>
        <w:spacing w:after="0" w:line="276" w:lineRule="auto"/>
        <w:jc w:val="both"/>
        <w:rPr>
          <w:rFonts w:ascii="Times New Roman" w:eastAsia="Times New Roman" w:hAnsi="Times New Roman" w:cs="Times New Roman"/>
          <w:sz w:val="24"/>
          <w:szCs w:val="24"/>
          <w:lang w:eastAsia="en-GB"/>
        </w:rPr>
      </w:pP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IV.5) CHANGES TO THE CONTRACT</w:t>
      </w:r>
      <w:r>
        <w:rPr>
          <w:rFonts w:ascii="Times New Roman" w:hAnsi="Times New Roman"/>
          <w:sz w:val="24"/>
          <w:szCs w:val="24"/>
        </w:rPr>
        <w:t xml:space="preserve">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The Contracting Authority allows for material changes to the provisions of the contract relative to the contents of the tender on the basis of which the Contractor was selected:</w:t>
      </w:r>
      <w:r>
        <w:rPr>
          <w:rFonts w:ascii="Times New Roman" w:hAnsi="Times New Roman"/>
          <w:sz w:val="24"/>
          <w:szCs w:val="24"/>
        </w:rPr>
        <w:t xml:space="preserve"> </w:t>
      </w:r>
    </w:p>
    <w:p w:rsidR="007D7B90" w:rsidRPr="007D7B90" w:rsidRDefault="00E8473A" w:rsidP="007D7B90">
      <w:pPr>
        <w:pStyle w:val="Akapitzlist"/>
        <w:numPr>
          <w:ilvl w:val="0"/>
          <w:numId w:val="3"/>
        </w:numPr>
        <w:spacing w:after="0" w:line="276" w:lineRule="auto"/>
        <w:jc w:val="both"/>
        <w:rPr>
          <w:rFonts w:ascii="Times New Roman" w:eastAsia="Times New Roman" w:hAnsi="Times New Roman" w:cs="Times New Roman"/>
          <w:sz w:val="24"/>
          <w:szCs w:val="24"/>
        </w:rPr>
      </w:pPr>
      <w:r w:rsidRPr="007D7B90">
        <w:rPr>
          <w:rFonts w:ascii="Times New Roman" w:hAnsi="Times New Roman"/>
          <w:sz w:val="24"/>
          <w:szCs w:val="24"/>
        </w:rPr>
        <w:t>Yes</w:t>
      </w:r>
      <w:r w:rsidRPr="007D7B90">
        <w:rPr>
          <w:rFonts w:ascii="Times New Roman" w:hAnsi="Times New Roman"/>
          <w:sz w:val="24"/>
          <w:szCs w:val="24"/>
        </w:rPr>
        <w:br/>
        <w:t xml:space="preserve">Specify the nature and scope of the changes, and the terms </w:t>
      </w:r>
      <w:r w:rsidR="007D7B90">
        <w:rPr>
          <w:rFonts w:ascii="Times New Roman" w:hAnsi="Times New Roman"/>
          <w:sz w:val="24"/>
          <w:szCs w:val="24"/>
        </w:rPr>
        <w:t xml:space="preserve">on which they will be made: </w:t>
      </w:r>
      <w:r w:rsidR="007D7B90">
        <w:rPr>
          <w:rFonts w:ascii="Times New Roman" w:hAnsi="Times New Roman"/>
          <w:sz w:val="24"/>
          <w:szCs w:val="24"/>
        </w:rPr>
        <w:br/>
      </w:r>
      <w:r w:rsidRPr="007D7B90">
        <w:rPr>
          <w:rFonts w:ascii="Times New Roman" w:hAnsi="Times New Roman"/>
          <w:sz w:val="24"/>
          <w:szCs w:val="24"/>
        </w:rPr>
        <w:t>The Contracting Authority allows for change</w:t>
      </w:r>
      <w:r w:rsidR="00E055C2" w:rsidRPr="007D7B90">
        <w:rPr>
          <w:rFonts w:ascii="Times New Roman" w:hAnsi="Times New Roman"/>
          <w:sz w:val="24"/>
          <w:szCs w:val="24"/>
        </w:rPr>
        <w:t>s</w:t>
      </w:r>
      <w:r w:rsidRPr="007D7B90">
        <w:rPr>
          <w:rFonts w:ascii="Times New Roman" w:hAnsi="Times New Roman"/>
          <w:sz w:val="24"/>
          <w:szCs w:val="24"/>
        </w:rPr>
        <w:t xml:space="preserve"> to the provisions of the Contract relative to the contents of the tender on the basis of which the Contractor was selected, concerning the time-limit for the completion of the contract, the terms of settlement, amount of remuneration, scope of the object of the contract, and manner of performance of the object of the contract, in the event of the following circumstances: </w:t>
      </w:r>
    </w:p>
    <w:p w:rsidR="007D7B90" w:rsidRDefault="00E8473A" w:rsidP="007D7B90">
      <w:pPr>
        <w:pStyle w:val="Akapitzlist"/>
        <w:spacing w:after="0" w:line="276" w:lineRule="auto"/>
        <w:jc w:val="both"/>
        <w:rPr>
          <w:rFonts w:ascii="Times New Roman" w:hAnsi="Times New Roman"/>
          <w:sz w:val="24"/>
          <w:szCs w:val="24"/>
        </w:rPr>
      </w:pPr>
      <w:r w:rsidRPr="007D7B90">
        <w:rPr>
          <w:rFonts w:ascii="Times New Roman" w:hAnsi="Times New Roman"/>
          <w:sz w:val="24"/>
          <w:szCs w:val="24"/>
        </w:rPr>
        <w:lastRenderedPageBreak/>
        <w:t xml:space="preserve">1) if there is a need to take measures to mitigate the impact of random events caused by external factors that could not have been foreseen, especially posing a direct threat to human life or health; </w:t>
      </w:r>
    </w:p>
    <w:p w:rsidR="007D7B90" w:rsidRDefault="00E8473A" w:rsidP="007D7B90">
      <w:pPr>
        <w:pStyle w:val="Akapitzlist"/>
        <w:spacing w:after="0" w:line="276" w:lineRule="auto"/>
        <w:jc w:val="both"/>
        <w:rPr>
          <w:rFonts w:ascii="Times New Roman" w:hAnsi="Times New Roman"/>
          <w:sz w:val="24"/>
          <w:szCs w:val="24"/>
        </w:rPr>
      </w:pPr>
      <w:r w:rsidRPr="007D7B90">
        <w:rPr>
          <w:rFonts w:ascii="Times New Roman" w:hAnsi="Times New Roman"/>
          <w:sz w:val="24"/>
          <w:szCs w:val="24"/>
        </w:rPr>
        <w:t xml:space="preserve">2) as a result of administrative procedures exceeding the time-limits set forth in the Code of Administrative Procedure and other official, formal and legal time-limits influencing the duration of the performance of the contract; </w:t>
      </w:r>
    </w:p>
    <w:p w:rsidR="007D7B90" w:rsidRDefault="00E8473A" w:rsidP="007D7B90">
      <w:pPr>
        <w:pStyle w:val="Akapitzlist"/>
        <w:spacing w:after="0" w:line="276" w:lineRule="auto"/>
        <w:jc w:val="both"/>
        <w:rPr>
          <w:rFonts w:ascii="Times New Roman" w:hAnsi="Times New Roman"/>
          <w:sz w:val="24"/>
          <w:szCs w:val="24"/>
        </w:rPr>
      </w:pPr>
      <w:r w:rsidRPr="007D7B90">
        <w:rPr>
          <w:rFonts w:ascii="Times New Roman" w:hAnsi="Times New Roman"/>
          <w:sz w:val="24"/>
          <w:szCs w:val="24"/>
        </w:rPr>
        <w:t xml:space="preserve">3) restrictions on the availability of budget funds for the implementation of the contract; 4) changes to the method or scope of preparing the Study commissioned by the Contracting Authority; </w:t>
      </w:r>
    </w:p>
    <w:p w:rsidR="007D7B90" w:rsidRDefault="00E8473A" w:rsidP="007D7B90">
      <w:pPr>
        <w:pStyle w:val="Akapitzlist"/>
        <w:spacing w:after="0" w:line="276" w:lineRule="auto"/>
        <w:jc w:val="both"/>
        <w:rPr>
          <w:rFonts w:ascii="Times New Roman" w:hAnsi="Times New Roman"/>
          <w:sz w:val="24"/>
          <w:szCs w:val="24"/>
        </w:rPr>
      </w:pPr>
      <w:r w:rsidRPr="007D7B90">
        <w:rPr>
          <w:rFonts w:ascii="Times New Roman" w:hAnsi="Times New Roman"/>
          <w:sz w:val="24"/>
          <w:szCs w:val="24"/>
        </w:rPr>
        <w:t xml:space="preserve">5) amendment of the law introduced after the date of entering into the contract — according to the impact the aforementioned cases may have on such changes; </w:t>
      </w:r>
    </w:p>
    <w:p w:rsidR="007D7B90" w:rsidRDefault="00E8473A" w:rsidP="007D7B90">
      <w:pPr>
        <w:pStyle w:val="Akapitzlist"/>
        <w:spacing w:after="0" w:line="276" w:lineRule="auto"/>
        <w:jc w:val="both"/>
        <w:rPr>
          <w:rFonts w:ascii="Times New Roman" w:hAnsi="Times New Roman"/>
          <w:sz w:val="24"/>
          <w:szCs w:val="24"/>
        </w:rPr>
      </w:pPr>
      <w:r w:rsidRPr="007D7B90">
        <w:rPr>
          <w:rFonts w:ascii="Times New Roman" w:hAnsi="Times New Roman"/>
          <w:sz w:val="24"/>
          <w:szCs w:val="24"/>
        </w:rPr>
        <w:t xml:space="preserve">2. Amendment of the contract after conclusion is conditional upon the drafting of a certificate of amendment signed by the parties and setting out the causes of the modification, as well as confirming the occurrence (respectively) of at least one of the circumstances mentioned in this subsection. The certificate will be an appendix to the addendum referred to in § 13(1) of this contract. </w:t>
      </w:r>
    </w:p>
    <w:p w:rsidR="00E8473A" w:rsidRPr="007D7B90" w:rsidRDefault="00E8473A" w:rsidP="007D7B90">
      <w:pPr>
        <w:pStyle w:val="Akapitzlist"/>
        <w:spacing w:after="0" w:line="276" w:lineRule="auto"/>
        <w:jc w:val="both"/>
        <w:rPr>
          <w:rFonts w:ascii="Times New Roman" w:eastAsia="Times New Roman" w:hAnsi="Times New Roman" w:cs="Times New Roman"/>
          <w:sz w:val="24"/>
          <w:szCs w:val="24"/>
        </w:rPr>
      </w:pPr>
      <w:r w:rsidRPr="007D7B90">
        <w:rPr>
          <w:rFonts w:ascii="Times New Roman" w:hAnsi="Times New Roman"/>
          <w:sz w:val="24"/>
          <w:szCs w:val="24"/>
        </w:rPr>
        <w:t xml:space="preserve">3. The contract may be amended also in the event of the circumstances set out in Article 144(1)(2–6) of PPL Act. </w:t>
      </w:r>
    </w:p>
    <w:p w:rsidR="00665BB6" w:rsidRDefault="00E8473A" w:rsidP="00E8473A">
      <w:pPr>
        <w:spacing w:after="0" w:line="276" w:lineRule="auto"/>
        <w:jc w:val="both"/>
        <w:rPr>
          <w:rFonts w:ascii="Times New Roman" w:eastAsia="Times New Roman" w:hAnsi="Times New Roman" w:cs="Times New Roman"/>
          <w:b/>
          <w:bCs/>
          <w:sz w:val="24"/>
          <w:szCs w:val="24"/>
        </w:rPr>
      </w:pPr>
      <w:r>
        <w:rPr>
          <w:rFonts w:ascii="Times New Roman" w:hAnsi="Times New Roman"/>
          <w:sz w:val="24"/>
          <w:szCs w:val="24"/>
        </w:rPr>
        <w:br/>
      </w:r>
      <w:r>
        <w:rPr>
          <w:rFonts w:ascii="Times New Roman" w:hAnsi="Times New Roman"/>
          <w:b/>
          <w:bCs/>
          <w:sz w:val="24"/>
          <w:szCs w:val="24"/>
        </w:rPr>
        <w:t xml:space="preserve">IV.6) ADMINISTRATIVE INFORMATION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IV.6.1) Method of sharing confidential information </w:t>
      </w:r>
      <w:r>
        <w:rPr>
          <w:rFonts w:ascii="Times New Roman" w:hAnsi="Times New Roman"/>
          <w:i/>
          <w:iCs/>
          <w:sz w:val="24"/>
          <w:szCs w:val="24"/>
        </w:rPr>
        <w:t xml:space="preserve">(if applicable): </w:t>
      </w:r>
      <w:r>
        <w:rPr>
          <w:rFonts w:ascii="Times New Roman" w:hAnsi="Times New Roman"/>
          <w:sz w:val="24"/>
          <w:szCs w:val="24"/>
        </w:rPr>
        <w:br/>
      </w:r>
      <w:r>
        <w:rPr>
          <w:rFonts w:ascii="Times New Roman" w:hAnsi="Times New Roman"/>
          <w:sz w:val="24"/>
          <w:szCs w:val="24"/>
        </w:rPr>
        <w:br/>
      </w:r>
      <w:r>
        <w:rPr>
          <w:rFonts w:ascii="Times New Roman" w:hAnsi="Times New Roman"/>
          <w:b/>
          <w:bCs/>
          <w:sz w:val="24"/>
          <w:szCs w:val="24"/>
        </w:rPr>
        <w:t>Measures to protect confidential information</w:t>
      </w:r>
      <w:r>
        <w:rPr>
          <w:rFonts w:ascii="Times New Roman" w:hAnsi="Times New Roman"/>
          <w:sz w:val="24"/>
          <w:szCs w:val="24"/>
        </w:rPr>
        <w:t xml:space="preserve">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br/>
      </w:r>
      <w:r>
        <w:rPr>
          <w:rFonts w:ascii="Times New Roman" w:hAnsi="Times New Roman"/>
          <w:b/>
          <w:bCs/>
          <w:sz w:val="24"/>
          <w:szCs w:val="24"/>
        </w:rPr>
        <w:t xml:space="preserve">IV.6.2) Time-limit for the submission or requests to participate: </w:t>
      </w:r>
      <w:r>
        <w:rPr>
          <w:rFonts w:ascii="Times New Roman" w:hAnsi="Times New Roman"/>
          <w:sz w:val="24"/>
          <w:szCs w:val="24"/>
        </w:rPr>
        <w:br/>
        <w:t xml:space="preserve">Date: </w:t>
      </w:r>
      <w:r w:rsidR="007D7B90">
        <w:rPr>
          <w:rFonts w:ascii="Times New Roman" w:hAnsi="Times New Roman"/>
          <w:sz w:val="24"/>
          <w:szCs w:val="24"/>
        </w:rPr>
        <w:t>27 February 2020</w:t>
      </w:r>
      <w:r>
        <w:rPr>
          <w:rFonts w:ascii="Times New Roman" w:hAnsi="Times New Roman"/>
          <w:sz w:val="24"/>
          <w:szCs w:val="24"/>
        </w:rPr>
        <w:t>, hours: 10.00 a.m.;</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 </w:t>
      </w:r>
      <w:r>
        <w:rPr>
          <w:rFonts w:ascii="Times New Roman" w:hAnsi="Times New Roman"/>
          <w:sz w:val="24"/>
          <w:szCs w:val="24"/>
        </w:rPr>
        <w:br/>
        <w:t xml:space="preserve">Shortening of the time-limit for the submission of requests due to an urgent need to grant the contract (open tender, restricted tender, negotiation with publication): </w:t>
      </w:r>
      <w:r>
        <w:rPr>
          <w:rFonts w:ascii="Times New Roman" w:hAnsi="Times New Roman"/>
          <w:sz w:val="24"/>
          <w:szCs w:val="24"/>
        </w:rPr>
        <w:br/>
        <w:t xml:space="preserve">No </w:t>
      </w:r>
      <w:r>
        <w:rPr>
          <w:rFonts w:ascii="Times New Roman" w:hAnsi="Times New Roman"/>
          <w:sz w:val="24"/>
          <w:szCs w:val="24"/>
        </w:rPr>
        <w:br/>
        <w:t xml:space="preserve">State reasons: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Language or languages in which the tenders or requests to participate may be drafted </w:t>
      </w:r>
    </w:p>
    <w:p w:rsidR="005946D5"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&gt; Polish </w:t>
      </w:r>
    </w:p>
    <w:p w:rsidR="00CC430D" w:rsidRDefault="00E8473A" w:rsidP="00CC430D">
      <w:pPr>
        <w:spacing w:after="0" w:line="276" w:lineRule="auto"/>
        <w:jc w:val="both"/>
        <w:rPr>
          <w:rFonts w:ascii="Times New Roman" w:hAnsi="Times New Roman"/>
          <w:b/>
          <w:bCs/>
          <w:sz w:val="24"/>
          <w:szCs w:val="24"/>
        </w:rPr>
      </w:pPr>
      <w:r>
        <w:rPr>
          <w:rFonts w:ascii="Times New Roman" w:hAnsi="Times New Roman"/>
          <w:sz w:val="24"/>
          <w:szCs w:val="24"/>
        </w:rPr>
        <w:br/>
      </w:r>
      <w:r>
        <w:rPr>
          <w:rFonts w:ascii="Times New Roman" w:hAnsi="Times New Roman"/>
          <w:b/>
          <w:bCs/>
          <w:sz w:val="24"/>
          <w:szCs w:val="24"/>
        </w:rPr>
        <w:t xml:space="preserve">IV.6.3) Validity of the tender: </w:t>
      </w:r>
      <w:r>
        <w:rPr>
          <w:rFonts w:ascii="Times New Roman" w:hAnsi="Times New Roman"/>
          <w:sz w:val="24"/>
          <w:szCs w:val="24"/>
        </w:rPr>
        <w:t xml:space="preserve">until: duration in days: 30 (as from the deadline for submission) </w:t>
      </w:r>
      <w:r>
        <w:rPr>
          <w:rFonts w:ascii="Times New Roman" w:hAnsi="Times New Roman"/>
          <w:sz w:val="24"/>
          <w:szCs w:val="24"/>
        </w:rPr>
        <w:br/>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b/>
          <w:bCs/>
          <w:sz w:val="24"/>
          <w:szCs w:val="24"/>
        </w:rPr>
        <w:t>I</w:t>
      </w:r>
      <w:r w:rsidR="00CC430D">
        <w:rPr>
          <w:rFonts w:ascii="Times New Roman" w:hAnsi="Times New Roman"/>
          <w:b/>
          <w:bCs/>
          <w:sz w:val="24"/>
          <w:szCs w:val="24"/>
        </w:rPr>
        <w:t>V.6.4</w:t>
      </w:r>
      <w:r>
        <w:rPr>
          <w:rFonts w:ascii="Times New Roman" w:hAnsi="Times New Roman"/>
          <w:b/>
          <w:bCs/>
          <w:sz w:val="24"/>
          <w:szCs w:val="24"/>
        </w:rPr>
        <w:t>) The procurement may be invalidated if such funds for the financing of scientific or academic research or development works as the Contracting Authority intends to allocate to the financing of the whole or part of the contract are not granted to the Contracting Authority</w:t>
      </w:r>
      <w:r>
        <w:rPr>
          <w:rFonts w:ascii="Times New Roman" w:hAnsi="Times New Roman"/>
          <w:sz w:val="24"/>
          <w:szCs w:val="24"/>
        </w:rPr>
        <w:t xml:space="preserve"> </w:t>
      </w:r>
    </w:p>
    <w:p w:rsidR="00665BB6"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No </w:t>
      </w:r>
      <w:r>
        <w:rPr>
          <w:rFonts w:ascii="Times New Roman" w:hAnsi="Times New Roman"/>
          <w:sz w:val="24"/>
          <w:szCs w:val="24"/>
        </w:rPr>
        <w:br/>
      </w:r>
      <w:r w:rsidR="00CC430D">
        <w:rPr>
          <w:rFonts w:ascii="Times New Roman" w:hAnsi="Times New Roman"/>
          <w:b/>
          <w:bCs/>
          <w:sz w:val="24"/>
          <w:szCs w:val="24"/>
        </w:rPr>
        <w:t>IV.6.5</w:t>
      </w:r>
      <w:bookmarkStart w:id="0" w:name="_GoBack"/>
      <w:bookmarkEnd w:id="0"/>
      <w:r>
        <w:rPr>
          <w:rFonts w:ascii="Times New Roman" w:hAnsi="Times New Roman"/>
          <w:b/>
          <w:bCs/>
          <w:sz w:val="24"/>
          <w:szCs w:val="24"/>
        </w:rPr>
        <w:t>) Additional information:</w:t>
      </w:r>
      <w:r>
        <w:rPr>
          <w:rFonts w:ascii="Times New Roman" w:hAnsi="Times New Roman"/>
          <w:sz w:val="24"/>
          <w:szCs w:val="24"/>
        </w:rPr>
        <w:t xml:space="preserve"> </w:t>
      </w:r>
    </w:p>
    <w:p w:rsidR="007D7B90" w:rsidRPr="00CC430D" w:rsidRDefault="00E8473A" w:rsidP="00E8473A">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lastRenderedPageBreak/>
        <w:br/>
        <w:t xml:space="preserve">1. The tender along with the appendices must be signed by the Tenderer. The Contracting Authority requires the tender to be signed in accordance with the rules of representation specified in the appropriate register. If the person or persons signing the tender are acting under a power of attorney, such a power of attorney must include the authority to sign the tender. The power of attorney much be submitted along with the tender in the original or </w:t>
      </w:r>
      <w:proofErr w:type="spellStart"/>
      <w:r>
        <w:rPr>
          <w:rFonts w:ascii="Times New Roman" w:hAnsi="Times New Roman"/>
          <w:sz w:val="24"/>
          <w:szCs w:val="24"/>
        </w:rPr>
        <w:t>notarially</w:t>
      </w:r>
      <w:proofErr w:type="spellEnd"/>
      <w:r>
        <w:rPr>
          <w:rFonts w:ascii="Times New Roman" w:hAnsi="Times New Roman"/>
          <w:sz w:val="24"/>
          <w:szCs w:val="24"/>
        </w:rPr>
        <w:t xml:space="preserve"> authenticated copy. Documents confirming the signatory of the power of attorney had the authority to represent the Tenderer as at the date of granting the power of attorney (which can be demonstrated in particular by attaching an official copy from the National Court Register) must be attached with the power of attorney. 2. Rules for the submission of a tender by entities competing jointly: 2.1. Requirement statements specified in section III. 3) (the Tenderer’s statement of meeting the participation conditions and the Tenderer’s statement of not being subject to exclusion under Article 24(1)(12–23) or Article 24(5)(1, 2 and 4) of PPL Act should be submitted by each of the Tenderers competing jointly. The statements must confirm meeting the participation conditions and lack of exclusion grounds to the extent each of the Tenderers is demonstrating the satisfaction of participation conditions and absence of exclusion grounds. 2.2. Tenderers submitting a joint tender must appoint an attorney to represent such Tenderers in the procurement or an attorney to represent them in the procurement and enter into the contract. The document (or documents) containing the appointment of the attorney must include without limitation: identification of the public procurement concerned, identification of the Tenderers competing jointly, of the attorney appointed and of the scope of the attorney’s authority. The document (or documents) containing the appointment of the attorney must be signed on behalf of all of the Tenderers competing jointly by persons authorized to make statements of will, mentioned in the Tenderers’ appropriate registers. The appointment of the attorney concerned may be included in the consortium agreement submitted along with </w:t>
      </w:r>
      <w:r w:rsidR="005D2209">
        <w:rPr>
          <w:rFonts w:ascii="Times New Roman" w:hAnsi="Times New Roman"/>
          <w:sz w:val="24"/>
          <w:szCs w:val="24"/>
        </w:rPr>
        <w:t>t</w:t>
      </w:r>
      <w:r>
        <w:rPr>
          <w:rFonts w:ascii="Times New Roman" w:hAnsi="Times New Roman"/>
          <w:sz w:val="24"/>
          <w:szCs w:val="24"/>
        </w:rPr>
        <w:t xml:space="preserve">he tender. The document (or documents) containing the appointment of the attorney must be submitted along with the tender in the form of the original or </w:t>
      </w:r>
      <w:proofErr w:type="spellStart"/>
      <w:r>
        <w:rPr>
          <w:rFonts w:ascii="Times New Roman" w:hAnsi="Times New Roman"/>
          <w:sz w:val="24"/>
          <w:szCs w:val="24"/>
        </w:rPr>
        <w:t>notarially</w:t>
      </w:r>
      <w:proofErr w:type="spellEnd"/>
      <w:r>
        <w:rPr>
          <w:rFonts w:ascii="Times New Roman" w:hAnsi="Times New Roman"/>
          <w:sz w:val="24"/>
          <w:szCs w:val="24"/>
        </w:rPr>
        <w:t xml:space="preserve"> authenticated copy. Documents confirming the signatory of the power of attorney had the authority to represent the Tenderers as at the date of granting the power of attorney (which can be demonstrated in particular by attaching an official copy from the National Court Register) must be attached with the document (or documents) containing the appointment of the attorney. 2.3. Any correspondence and settlements will be solely with the attorney. 2.4. When completing the tender form and other documents in reference to the Tenderer, such as the Tenderer’s name and address, enter the data of the Tenderers competing jointly and not of such Tenderers’ attorney. 3. A Tenderer relying on the resources of other entities to demonstrate the lack of grounds of exclusion and meeting, to the extent of relying on such entities’ resources, the participation conditions shall include information about such entities in the statements referred to in section III. 3) (the Tenderer’s statement of meeting the participation conditions and the Tenderer’s statement of not being subject to exclusion under Article 24(1)(12–25) or Article 24(5)(1, 2 and 4) of PPL Act.) 4. Each Tenderer, within 3 days of the publication on the website of the information referred to in Article 86(5) of PPL Act, shall submit to the Contracting Authority a statement (original) of belonging or not belonging to the same capital group, as referred to in Article 24(1)(23) of PPL Act. Along with the submission of the statement of belonging to the same capital group, the Tenderer should submit, under the pain of exclusion from the </w:t>
      </w:r>
      <w:r>
        <w:rPr>
          <w:rFonts w:ascii="Times New Roman" w:hAnsi="Times New Roman"/>
          <w:sz w:val="24"/>
          <w:szCs w:val="24"/>
        </w:rPr>
        <w:lastRenderedPageBreak/>
        <w:t xml:space="preserve">procurement, proof that the ties with another Tenderer will not interfere with competition in the procurement. The required statement referred to in the first sentence should be submitted by each of the Tenderers competing jointly in reference to Tenderers having submitted separate tenders. A Tenderer may submit with the tender a statement (original) of not belonging to a capital group, in the understanding of the Act of 16 February 2007 on the Protection of Competition and Consumers, if the Tenderer is not a member of any capital group. A Tenderer must submit the statement of not belonging to a capital group in conformity with the truth, after determining with due diligence that in such a Tenderer’s case there are no links constituting a capital group in the understanding of the Act of 16 February 2007 on the protection of Competition and Consumers and with the awareness that the making of false statements to obtain a public contract is a criminal offence. In such a case the Tenderer may refrain from submitting a statement of not belonging to the same capital group on the basis and in the circumstances referred to in Article 24(11) of PPL Act within 3 days of the day of publication on the Contracting Authority’s website of the report of opening the tenders. The Contracting Authority will not in such a case require the Tenderer to supplement the lack of a statement of belonging to the same capital group. 5. The Contracting Authority will exclude the Tenderer from the procurement if there are, with regard to such a Tenderer, the circumstances referred to in Article 24(1)(12–23) or Article 24(5)(1, 2 and 4) of PPL Act. 6. A Tenderer has no obligation to submit statements or documents confirming the circumstances referred to in sections III.4 and III.5 (correct as at the day of submission of the statement or documents confirming the circumstances of meeting the participation conditions and lack of exclusion grounds) if: 1) The Tenderer demonstrates the availability of the statements or documents referred to in sections III.4 and III.5 in electronic form at specific URLs of generally available and free-of-charge databases, in particular public registers in the understanding of the Act of 17 February 2005 on the </w:t>
      </w:r>
      <w:proofErr w:type="spellStart"/>
      <w:r>
        <w:rPr>
          <w:rFonts w:ascii="Times New Roman" w:hAnsi="Times New Roman"/>
          <w:sz w:val="24"/>
          <w:szCs w:val="24"/>
        </w:rPr>
        <w:t>Informatization</w:t>
      </w:r>
      <w:proofErr w:type="spellEnd"/>
      <w:r>
        <w:rPr>
          <w:rFonts w:ascii="Times New Roman" w:hAnsi="Times New Roman"/>
          <w:sz w:val="24"/>
          <w:szCs w:val="24"/>
        </w:rPr>
        <w:t xml:space="preserve"> of the Activities of Entities Performing Public Tasks (restated text: Dz.U.2017.570, as amended). In such a case the Contracting Authority will download the statements or documents specified by the Tenderer from such databases. This refers in particular to information corresponding to the current official copy from the Register of Entrepreneurs downloaded on the basis of Article 4(4aa) of the Act of 20 August 1997 on the National Court Register (restated text: Dz.U.2018.986) and prints from the Central Business Activity Registration and Information Service in accordance with Article 46(1) of the Act of 6 March 2018 on the Central Business Activity Registration and Information Service and the Information Point for Entrepreneurs (Dz.U.647); 2) the Tenderer will identify such statements or documents as referred to in sections III.4 and III.5 as may be in the Contracting Authority’s possession, including without limitation statements or documents kept by the Contracting Authority in accordance with Article 97(1) of PPL Act. In such a case the Contracting Authority shall rely on such statements or documents as may be in the Contracting Authority’s possession, if current, to confirm the meeting of participation conditions and lack of exclusion grounds. 7. If a Tenderer’s seat or place of residence is outside the territory of the Republic of Poland, then instead of the documents referred to in section III.4 (official copy from the appropriate business register or Central Business Registration and Information Service, if separate provisions require entry into such register), such a Tenderer shall submit a document or documents issued in the country of the Tenderer’s seat or place of residence, confirming, respective, that no liquidation has been opened or insolvency declared for the Tenderer. 7.1. The documents referred to in </w:t>
      </w:r>
      <w:r>
        <w:rPr>
          <w:rFonts w:ascii="Times New Roman" w:hAnsi="Times New Roman"/>
          <w:sz w:val="24"/>
          <w:szCs w:val="24"/>
        </w:rPr>
        <w:lastRenderedPageBreak/>
        <w:t>item 7 should be issued no earlier than 6 months prior to the time-limit for the submission of tenders. 7.2. If in the country of the Tenderer’s seat or residence or the residence of such a person as the document concerns such documents as referred to in item 7 are not issued, they shall be replaced with a document containing, respectively, the Tenderer’s statement identifying the person or persons authorized to represent the Tenderer or statement of the person the document was to concern, made before a notary or judicial or administrative authority or body of a professional or business self-government competent by reason of the Tenderer’s seat or place of residence or the place of residence of the relevant person. Provisions of item 7.1 shall apply. 8. The Contracting Authority will invalidate the procurement in cases referred to in Article 93(1) of PPL Act. The Contracting Authority may invalidate the procurement also in the case referred to in Article 93(1a) of PPL Act.</w:t>
      </w:r>
    </w:p>
    <w:p w:rsidR="007D7B90" w:rsidRPr="007D7B90" w:rsidRDefault="007D7B90" w:rsidP="007D7B9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7D7B90">
        <w:rPr>
          <w:rFonts w:ascii="Times New Roman" w:eastAsia="Times New Roman" w:hAnsi="Times New Roman" w:cs="Times New Roman"/>
          <w:sz w:val="24"/>
          <w:szCs w:val="24"/>
        </w:rPr>
        <w:t xml:space="preserve">The procurement is conducted fully in Polish language. The English translation is available for information purpose only. </w:t>
      </w:r>
    </w:p>
    <w:p w:rsidR="00CC430D" w:rsidRDefault="007D7B90" w:rsidP="007D7B90">
      <w:pPr>
        <w:spacing w:after="0" w:line="276" w:lineRule="auto"/>
        <w:jc w:val="both"/>
      </w:pPr>
      <w:r>
        <w:rPr>
          <w:rFonts w:ascii="Times New Roman" w:eastAsia="Times New Roman" w:hAnsi="Times New Roman" w:cs="Times New Roman"/>
          <w:sz w:val="24"/>
          <w:szCs w:val="24"/>
        </w:rPr>
        <w:t xml:space="preserve">9.1 </w:t>
      </w:r>
      <w:r w:rsidRPr="007D7B90">
        <w:rPr>
          <w:rFonts w:ascii="Times New Roman" w:eastAsia="Times New Roman" w:hAnsi="Times New Roman" w:cs="Times New Roman"/>
          <w:sz w:val="24"/>
          <w:szCs w:val="24"/>
        </w:rPr>
        <w:t>The translation into English will be finished with the offers opening.</w:t>
      </w:r>
      <w:r w:rsidR="00CC430D" w:rsidRPr="00CC430D">
        <w:t xml:space="preserve"> </w:t>
      </w:r>
    </w:p>
    <w:p w:rsidR="007D7B90" w:rsidRPr="00E8473A" w:rsidRDefault="00CC430D" w:rsidP="007D7B90">
      <w:pPr>
        <w:spacing w:after="0" w:line="276" w:lineRule="auto"/>
        <w:jc w:val="both"/>
        <w:rPr>
          <w:rFonts w:ascii="Times New Roman" w:eastAsia="Times New Roman" w:hAnsi="Times New Roman" w:cs="Times New Roman"/>
          <w:sz w:val="24"/>
          <w:szCs w:val="24"/>
        </w:rPr>
      </w:pPr>
      <w:r w:rsidRPr="00CC430D">
        <w:rPr>
          <w:rFonts w:ascii="Times New Roman" w:eastAsia="Times New Roman" w:hAnsi="Times New Roman" w:cs="Times New Roman"/>
          <w:sz w:val="24"/>
          <w:szCs w:val="24"/>
        </w:rPr>
        <w:t>APPENDIX I — INFORMATION CONCERNING LOTS (PARTIAL TENDERS)</w:t>
      </w:r>
    </w:p>
    <w:p w:rsidR="00E8473A" w:rsidRPr="00370F55" w:rsidRDefault="00E8473A" w:rsidP="00E8473A">
      <w:pPr>
        <w:spacing w:after="0" w:line="276" w:lineRule="auto"/>
        <w:jc w:val="both"/>
        <w:rPr>
          <w:rFonts w:ascii="Times New Roman" w:eastAsia="Times New Roman" w:hAnsi="Times New Roman" w:cs="Times New Roman"/>
          <w:sz w:val="24"/>
          <w:szCs w:val="24"/>
          <w:lang w:eastAsia="en-GB"/>
        </w:rPr>
      </w:pPr>
    </w:p>
    <w:p w:rsidR="00E8473A" w:rsidRPr="00E8473A" w:rsidRDefault="00E8473A" w:rsidP="00E8473A">
      <w:pPr>
        <w:pBdr>
          <w:top w:val="single" w:sz="6" w:space="1" w:color="auto"/>
        </w:pBdr>
        <w:spacing w:after="0" w:line="276" w:lineRule="auto"/>
        <w:jc w:val="both"/>
        <w:rPr>
          <w:rFonts w:ascii="Times New Roman" w:eastAsia="Times New Roman" w:hAnsi="Times New Roman" w:cs="Times New Roman"/>
          <w:vanish/>
          <w:sz w:val="16"/>
          <w:szCs w:val="16"/>
        </w:rPr>
      </w:pPr>
      <w:r>
        <w:rPr>
          <w:rFonts w:ascii="Times New Roman" w:hAnsi="Times New Roman"/>
          <w:vanish/>
          <w:sz w:val="16"/>
          <w:szCs w:val="16"/>
          <w:lang w:eastAsia="en-GB"/>
        </w:rPr>
        <w:t>Dół formularza</w:t>
      </w:r>
    </w:p>
    <w:p w:rsidR="00E8473A" w:rsidRPr="00E8473A" w:rsidRDefault="00E8473A" w:rsidP="00E8473A">
      <w:pPr>
        <w:pBdr>
          <w:bottom w:val="single" w:sz="6" w:space="1" w:color="auto"/>
        </w:pBdr>
        <w:spacing w:after="0" w:line="276" w:lineRule="auto"/>
        <w:jc w:val="both"/>
        <w:rPr>
          <w:rFonts w:ascii="Times New Roman" w:eastAsia="Times New Roman" w:hAnsi="Times New Roman" w:cs="Times New Roman"/>
          <w:vanish/>
          <w:sz w:val="16"/>
          <w:szCs w:val="16"/>
        </w:rPr>
      </w:pPr>
      <w:r>
        <w:rPr>
          <w:rFonts w:ascii="Times New Roman" w:hAnsi="Times New Roman"/>
          <w:vanish/>
          <w:sz w:val="16"/>
          <w:szCs w:val="16"/>
          <w:lang w:eastAsia="en-GB"/>
        </w:rPr>
        <w:t>Początek formularza</w:t>
      </w:r>
    </w:p>
    <w:p w:rsidR="00E8473A" w:rsidRPr="00E8473A" w:rsidRDefault="00E8473A" w:rsidP="00E8473A">
      <w:pPr>
        <w:pBdr>
          <w:top w:val="single" w:sz="6" w:space="1" w:color="auto"/>
        </w:pBdr>
        <w:spacing w:after="0" w:line="276" w:lineRule="auto"/>
        <w:jc w:val="both"/>
        <w:rPr>
          <w:rFonts w:ascii="Times New Roman" w:eastAsia="Times New Roman" w:hAnsi="Times New Roman" w:cs="Times New Roman"/>
          <w:vanish/>
          <w:sz w:val="16"/>
          <w:szCs w:val="16"/>
        </w:rPr>
      </w:pPr>
      <w:r>
        <w:rPr>
          <w:rFonts w:ascii="Times New Roman" w:hAnsi="Times New Roman"/>
          <w:vanish/>
          <w:sz w:val="16"/>
          <w:szCs w:val="16"/>
          <w:lang w:eastAsia="en-GB"/>
        </w:rPr>
        <w:t>Dół formularza</w:t>
      </w:r>
    </w:p>
    <w:p w:rsidR="009E57B0" w:rsidRPr="00E8473A" w:rsidRDefault="009E57B0" w:rsidP="00E8473A">
      <w:pPr>
        <w:spacing w:line="276" w:lineRule="auto"/>
        <w:jc w:val="both"/>
        <w:rPr>
          <w:rFonts w:ascii="Times New Roman" w:hAnsi="Times New Roman" w:cs="Times New Roman"/>
        </w:rPr>
      </w:pPr>
    </w:p>
    <w:sectPr w:rsidR="009E57B0" w:rsidRPr="00E8473A" w:rsidSect="00EF4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23AF2"/>
    <w:multiLevelType w:val="hybridMultilevel"/>
    <w:tmpl w:val="E68C400E"/>
    <w:lvl w:ilvl="0" w:tplc="B11C1A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977762"/>
    <w:multiLevelType w:val="hybridMultilevel"/>
    <w:tmpl w:val="245AD79A"/>
    <w:lvl w:ilvl="0" w:tplc="09A2FFC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EE33B5"/>
    <w:multiLevelType w:val="hybridMultilevel"/>
    <w:tmpl w:val="1D3C07A0"/>
    <w:lvl w:ilvl="0" w:tplc="04BCF380">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A"/>
    <w:rsid w:val="00370F55"/>
    <w:rsid w:val="00413F7F"/>
    <w:rsid w:val="005946D5"/>
    <w:rsid w:val="005D2209"/>
    <w:rsid w:val="00665BB6"/>
    <w:rsid w:val="007525F1"/>
    <w:rsid w:val="007D7B90"/>
    <w:rsid w:val="008D690E"/>
    <w:rsid w:val="009E57B0"/>
    <w:rsid w:val="00CC430D"/>
    <w:rsid w:val="00DA0257"/>
    <w:rsid w:val="00E055C2"/>
    <w:rsid w:val="00E8473A"/>
    <w:rsid w:val="00EF41A0"/>
    <w:rsid w:val="00FE2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93106-04A7-4124-B531-E61A14A2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41A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8473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agicieodgryformularzaZnak">
    <w:name w:val="Zagięcie od góry formularza Znak"/>
    <w:basedOn w:val="Domylnaczcionkaakapitu"/>
    <w:link w:val="Zagicieodgryformularza"/>
    <w:uiPriority w:val="99"/>
    <w:semiHidden/>
    <w:rsid w:val="00E8473A"/>
    <w:rPr>
      <w:rFonts w:ascii="Arial" w:eastAsia="Times New Roman" w:hAnsi="Arial" w:cs="Arial"/>
      <w:vanish/>
      <w:sz w:val="16"/>
      <w:szCs w:val="16"/>
      <w:lang w:eastAsia="en-GB"/>
    </w:rPr>
  </w:style>
  <w:style w:type="paragraph" w:styleId="Zagicieoddouformularza">
    <w:name w:val="HTML Bottom of Form"/>
    <w:basedOn w:val="Normalny"/>
    <w:next w:val="Normalny"/>
    <w:link w:val="ZagicieoddouformularzaZnak"/>
    <w:hidden/>
    <w:uiPriority w:val="99"/>
    <w:semiHidden/>
    <w:unhideWhenUsed/>
    <w:rsid w:val="00E8473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agicieoddouformularzaZnak">
    <w:name w:val="Zagięcie od dołu formularza Znak"/>
    <w:basedOn w:val="Domylnaczcionkaakapitu"/>
    <w:link w:val="Zagicieoddouformularza"/>
    <w:uiPriority w:val="99"/>
    <w:semiHidden/>
    <w:rsid w:val="00E8473A"/>
    <w:rPr>
      <w:rFonts w:ascii="Arial" w:eastAsia="Times New Roman" w:hAnsi="Arial" w:cs="Arial"/>
      <w:vanish/>
      <w:sz w:val="16"/>
      <w:szCs w:val="16"/>
      <w:lang w:eastAsia="en-GB"/>
    </w:rPr>
  </w:style>
  <w:style w:type="paragraph" w:styleId="Akapitzlist">
    <w:name w:val="List Paragraph"/>
    <w:basedOn w:val="Normalny"/>
    <w:uiPriority w:val="34"/>
    <w:qFormat/>
    <w:rsid w:val="00E84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737635">
      <w:bodyDiv w:val="1"/>
      <w:marLeft w:val="0"/>
      <w:marRight w:val="0"/>
      <w:marTop w:val="0"/>
      <w:marBottom w:val="0"/>
      <w:divBdr>
        <w:top w:val="none" w:sz="0" w:space="0" w:color="auto"/>
        <w:left w:val="none" w:sz="0" w:space="0" w:color="auto"/>
        <w:bottom w:val="none" w:sz="0" w:space="0" w:color="auto"/>
        <w:right w:val="none" w:sz="0" w:space="0" w:color="auto"/>
      </w:divBdr>
      <w:divsChild>
        <w:div w:id="830099878">
          <w:marLeft w:val="0"/>
          <w:marRight w:val="0"/>
          <w:marTop w:val="0"/>
          <w:marBottom w:val="0"/>
          <w:divBdr>
            <w:top w:val="none" w:sz="0" w:space="0" w:color="auto"/>
            <w:left w:val="none" w:sz="0" w:space="0" w:color="auto"/>
            <w:bottom w:val="none" w:sz="0" w:space="0" w:color="auto"/>
            <w:right w:val="none" w:sz="0" w:space="0" w:color="auto"/>
          </w:divBdr>
          <w:divsChild>
            <w:div w:id="427232633">
              <w:marLeft w:val="0"/>
              <w:marRight w:val="0"/>
              <w:marTop w:val="0"/>
              <w:marBottom w:val="0"/>
              <w:divBdr>
                <w:top w:val="none" w:sz="0" w:space="0" w:color="auto"/>
                <w:left w:val="none" w:sz="0" w:space="0" w:color="auto"/>
                <w:bottom w:val="none" w:sz="0" w:space="0" w:color="auto"/>
                <w:right w:val="none" w:sz="0" w:space="0" w:color="auto"/>
              </w:divBdr>
              <w:divsChild>
                <w:div w:id="296493465">
                  <w:marLeft w:val="0"/>
                  <w:marRight w:val="0"/>
                  <w:marTop w:val="0"/>
                  <w:marBottom w:val="0"/>
                  <w:divBdr>
                    <w:top w:val="none" w:sz="0" w:space="0" w:color="auto"/>
                    <w:left w:val="none" w:sz="0" w:space="0" w:color="auto"/>
                    <w:bottom w:val="none" w:sz="0" w:space="0" w:color="auto"/>
                    <w:right w:val="none" w:sz="0" w:space="0" w:color="auto"/>
                  </w:divBdr>
                </w:div>
                <w:div w:id="29720501">
                  <w:marLeft w:val="0"/>
                  <w:marRight w:val="0"/>
                  <w:marTop w:val="0"/>
                  <w:marBottom w:val="0"/>
                  <w:divBdr>
                    <w:top w:val="none" w:sz="0" w:space="0" w:color="auto"/>
                    <w:left w:val="none" w:sz="0" w:space="0" w:color="auto"/>
                    <w:bottom w:val="none" w:sz="0" w:space="0" w:color="auto"/>
                    <w:right w:val="none" w:sz="0" w:space="0" w:color="auto"/>
                  </w:divBdr>
                </w:div>
                <w:div w:id="77220511">
                  <w:marLeft w:val="0"/>
                  <w:marRight w:val="0"/>
                  <w:marTop w:val="0"/>
                  <w:marBottom w:val="0"/>
                  <w:divBdr>
                    <w:top w:val="none" w:sz="0" w:space="0" w:color="auto"/>
                    <w:left w:val="none" w:sz="0" w:space="0" w:color="auto"/>
                    <w:bottom w:val="none" w:sz="0" w:space="0" w:color="auto"/>
                    <w:right w:val="none" w:sz="0" w:space="0" w:color="auto"/>
                  </w:divBdr>
                  <w:divsChild>
                    <w:div w:id="2074504450">
                      <w:marLeft w:val="0"/>
                      <w:marRight w:val="0"/>
                      <w:marTop w:val="0"/>
                      <w:marBottom w:val="0"/>
                      <w:divBdr>
                        <w:top w:val="none" w:sz="0" w:space="0" w:color="auto"/>
                        <w:left w:val="none" w:sz="0" w:space="0" w:color="auto"/>
                        <w:bottom w:val="none" w:sz="0" w:space="0" w:color="auto"/>
                        <w:right w:val="none" w:sz="0" w:space="0" w:color="auto"/>
                      </w:divBdr>
                    </w:div>
                  </w:divsChild>
                </w:div>
                <w:div w:id="798501240">
                  <w:marLeft w:val="0"/>
                  <w:marRight w:val="0"/>
                  <w:marTop w:val="0"/>
                  <w:marBottom w:val="0"/>
                  <w:divBdr>
                    <w:top w:val="none" w:sz="0" w:space="0" w:color="auto"/>
                    <w:left w:val="none" w:sz="0" w:space="0" w:color="auto"/>
                    <w:bottom w:val="none" w:sz="0" w:space="0" w:color="auto"/>
                    <w:right w:val="none" w:sz="0" w:space="0" w:color="auto"/>
                  </w:divBdr>
                  <w:divsChild>
                    <w:div w:id="1247030480">
                      <w:marLeft w:val="0"/>
                      <w:marRight w:val="0"/>
                      <w:marTop w:val="0"/>
                      <w:marBottom w:val="0"/>
                      <w:divBdr>
                        <w:top w:val="none" w:sz="0" w:space="0" w:color="auto"/>
                        <w:left w:val="none" w:sz="0" w:space="0" w:color="auto"/>
                        <w:bottom w:val="none" w:sz="0" w:space="0" w:color="auto"/>
                        <w:right w:val="none" w:sz="0" w:space="0" w:color="auto"/>
                      </w:divBdr>
                    </w:div>
                  </w:divsChild>
                </w:div>
                <w:div w:id="722826357">
                  <w:marLeft w:val="0"/>
                  <w:marRight w:val="0"/>
                  <w:marTop w:val="0"/>
                  <w:marBottom w:val="0"/>
                  <w:divBdr>
                    <w:top w:val="none" w:sz="0" w:space="0" w:color="auto"/>
                    <w:left w:val="none" w:sz="0" w:space="0" w:color="auto"/>
                    <w:bottom w:val="none" w:sz="0" w:space="0" w:color="auto"/>
                    <w:right w:val="none" w:sz="0" w:space="0" w:color="auto"/>
                  </w:divBdr>
                  <w:divsChild>
                    <w:div w:id="1920286579">
                      <w:marLeft w:val="0"/>
                      <w:marRight w:val="0"/>
                      <w:marTop w:val="0"/>
                      <w:marBottom w:val="0"/>
                      <w:divBdr>
                        <w:top w:val="none" w:sz="0" w:space="0" w:color="auto"/>
                        <w:left w:val="none" w:sz="0" w:space="0" w:color="auto"/>
                        <w:bottom w:val="none" w:sz="0" w:space="0" w:color="auto"/>
                        <w:right w:val="none" w:sz="0" w:space="0" w:color="auto"/>
                      </w:divBdr>
                    </w:div>
                    <w:div w:id="1152916187">
                      <w:marLeft w:val="0"/>
                      <w:marRight w:val="0"/>
                      <w:marTop w:val="0"/>
                      <w:marBottom w:val="0"/>
                      <w:divBdr>
                        <w:top w:val="none" w:sz="0" w:space="0" w:color="auto"/>
                        <w:left w:val="none" w:sz="0" w:space="0" w:color="auto"/>
                        <w:bottom w:val="none" w:sz="0" w:space="0" w:color="auto"/>
                        <w:right w:val="none" w:sz="0" w:space="0" w:color="auto"/>
                      </w:divBdr>
                    </w:div>
                    <w:div w:id="1571303532">
                      <w:marLeft w:val="0"/>
                      <w:marRight w:val="0"/>
                      <w:marTop w:val="0"/>
                      <w:marBottom w:val="0"/>
                      <w:divBdr>
                        <w:top w:val="none" w:sz="0" w:space="0" w:color="auto"/>
                        <w:left w:val="none" w:sz="0" w:space="0" w:color="auto"/>
                        <w:bottom w:val="none" w:sz="0" w:space="0" w:color="auto"/>
                        <w:right w:val="none" w:sz="0" w:space="0" w:color="auto"/>
                      </w:divBdr>
                    </w:div>
                    <w:div w:id="1039401288">
                      <w:marLeft w:val="0"/>
                      <w:marRight w:val="0"/>
                      <w:marTop w:val="0"/>
                      <w:marBottom w:val="0"/>
                      <w:divBdr>
                        <w:top w:val="none" w:sz="0" w:space="0" w:color="auto"/>
                        <w:left w:val="none" w:sz="0" w:space="0" w:color="auto"/>
                        <w:bottom w:val="none" w:sz="0" w:space="0" w:color="auto"/>
                        <w:right w:val="none" w:sz="0" w:space="0" w:color="auto"/>
                      </w:divBdr>
                    </w:div>
                  </w:divsChild>
                </w:div>
                <w:div w:id="1905332026">
                  <w:marLeft w:val="0"/>
                  <w:marRight w:val="0"/>
                  <w:marTop w:val="0"/>
                  <w:marBottom w:val="0"/>
                  <w:divBdr>
                    <w:top w:val="none" w:sz="0" w:space="0" w:color="auto"/>
                    <w:left w:val="none" w:sz="0" w:space="0" w:color="auto"/>
                    <w:bottom w:val="none" w:sz="0" w:space="0" w:color="auto"/>
                    <w:right w:val="none" w:sz="0" w:space="0" w:color="auto"/>
                  </w:divBdr>
                  <w:divsChild>
                    <w:div w:id="1728338660">
                      <w:marLeft w:val="0"/>
                      <w:marRight w:val="0"/>
                      <w:marTop w:val="0"/>
                      <w:marBottom w:val="0"/>
                      <w:divBdr>
                        <w:top w:val="none" w:sz="0" w:space="0" w:color="auto"/>
                        <w:left w:val="none" w:sz="0" w:space="0" w:color="auto"/>
                        <w:bottom w:val="none" w:sz="0" w:space="0" w:color="auto"/>
                        <w:right w:val="none" w:sz="0" w:space="0" w:color="auto"/>
                      </w:divBdr>
                    </w:div>
                    <w:div w:id="2067602051">
                      <w:marLeft w:val="0"/>
                      <w:marRight w:val="0"/>
                      <w:marTop w:val="0"/>
                      <w:marBottom w:val="0"/>
                      <w:divBdr>
                        <w:top w:val="none" w:sz="0" w:space="0" w:color="auto"/>
                        <w:left w:val="none" w:sz="0" w:space="0" w:color="auto"/>
                        <w:bottom w:val="none" w:sz="0" w:space="0" w:color="auto"/>
                        <w:right w:val="none" w:sz="0" w:space="0" w:color="auto"/>
                      </w:divBdr>
                    </w:div>
                    <w:div w:id="710885772">
                      <w:marLeft w:val="0"/>
                      <w:marRight w:val="0"/>
                      <w:marTop w:val="0"/>
                      <w:marBottom w:val="0"/>
                      <w:divBdr>
                        <w:top w:val="none" w:sz="0" w:space="0" w:color="auto"/>
                        <w:left w:val="none" w:sz="0" w:space="0" w:color="auto"/>
                        <w:bottom w:val="none" w:sz="0" w:space="0" w:color="auto"/>
                        <w:right w:val="none" w:sz="0" w:space="0" w:color="auto"/>
                      </w:divBdr>
                    </w:div>
                    <w:div w:id="581764501">
                      <w:marLeft w:val="0"/>
                      <w:marRight w:val="0"/>
                      <w:marTop w:val="0"/>
                      <w:marBottom w:val="0"/>
                      <w:divBdr>
                        <w:top w:val="none" w:sz="0" w:space="0" w:color="auto"/>
                        <w:left w:val="none" w:sz="0" w:space="0" w:color="auto"/>
                        <w:bottom w:val="none" w:sz="0" w:space="0" w:color="auto"/>
                        <w:right w:val="none" w:sz="0" w:space="0" w:color="auto"/>
                      </w:divBdr>
                    </w:div>
                    <w:div w:id="590236885">
                      <w:marLeft w:val="0"/>
                      <w:marRight w:val="0"/>
                      <w:marTop w:val="0"/>
                      <w:marBottom w:val="0"/>
                      <w:divBdr>
                        <w:top w:val="none" w:sz="0" w:space="0" w:color="auto"/>
                        <w:left w:val="none" w:sz="0" w:space="0" w:color="auto"/>
                        <w:bottom w:val="none" w:sz="0" w:space="0" w:color="auto"/>
                        <w:right w:val="none" w:sz="0" w:space="0" w:color="auto"/>
                      </w:divBdr>
                    </w:div>
                    <w:div w:id="680010924">
                      <w:marLeft w:val="0"/>
                      <w:marRight w:val="0"/>
                      <w:marTop w:val="0"/>
                      <w:marBottom w:val="0"/>
                      <w:divBdr>
                        <w:top w:val="none" w:sz="0" w:space="0" w:color="auto"/>
                        <w:left w:val="none" w:sz="0" w:space="0" w:color="auto"/>
                        <w:bottom w:val="none" w:sz="0" w:space="0" w:color="auto"/>
                        <w:right w:val="none" w:sz="0" w:space="0" w:color="auto"/>
                      </w:divBdr>
                    </w:div>
                    <w:div w:id="1752309885">
                      <w:marLeft w:val="0"/>
                      <w:marRight w:val="0"/>
                      <w:marTop w:val="0"/>
                      <w:marBottom w:val="0"/>
                      <w:divBdr>
                        <w:top w:val="none" w:sz="0" w:space="0" w:color="auto"/>
                        <w:left w:val="none" w:sz="0" w:space="0" w:color="auto"/>
                        <w:bottom w:val="none" w:sz="0" w:space="0" w:color="auto"/>
                        <w:right w:val="none" w:sz="0" w:space="0" w:color="auto"/>
                      </w:divBdr>
                    </w:div>
                  </w:divsChild>
                </w:div>
                <w:div w:id="462046518">
                  <w:marLeft w:val="0"/>
                  <w:marRight w:val="0"/>
                  <w:marTop w:val="0"/>
                  <w:marBottom w:val="0"/>
                  <w:divBdr>
                    <w:top w:val="none" w:sz="0" w:space="0" w:color="auto"/>
                    <w:left w:val="none" w:sz="0" w:space="0" w:color="auto"/>
                    <w:bottom w:val="none" w:sz="0" w:space="0" w:color="auto"/>
                    <w:right w:val="none" w:sz="0" w:space="0" w:color="auto"/>
                  </w:divBdr>
                  <w:divsChild>
                    <w:div w:id="597523722">
                      <w:marLeft w:val="0"/>
                      <w:marRight w:val="0"/>
                      <w:marTop w:val="0"/>
                      <w:marBottom w:val="0"/>
                      <w:divBdr>
                        <w:top w:val="none" w:sz="0" w:space="0" w:color="auto"/>
                        <w:left w:val="none" w:sz="0" w:space="0" w:color="auto"/>
                        <w:bottom w:val="none" w:sz="0" w:space="0" w:color="auto"/>
                        <w:right w:val="none" w:sz="0" w:space="0" w:color="auto"/>
                      </w:divBdr>
                    </w:div>
                    <w:div w:id="1771197326">
                      <w:marLeft w:val="0"/>
                      <w:marRight w:val="0"/>
                      <w:marTop w:val="0"/>
                      <w:marBottom w:val="0"/>
                      <w:divBdr>
                        <w:top w:val="none" w:sz="0" w:space="0" w:color="auto"/>
                        <w:left w:val="none" w:sz="0" w:space="0" w:color="auto"/>
                        <w:bottom w:val="none" w:sz="0" w:space="0" w:color="auto"/>
                        <w:right w:val="none" w:sz="0" w:space="0" w:color="auto"/>
                      </w:divBdr>
                    </w:div>
                  </w:divsChild>
                </w:div>
                <w:div w:id="1037970240">
                  <w:marLeft w:val="0"/>
                  <w:marRight w:val="0"/>
                  <w:marTop w:val="0"/>
                  <w:marBottom w:val="0"/>
                  <w:divBdr>
                    <w:top w:val="none" w:sz="0" w:space="0" w:color="auto"/>
                    <w:left w:val="none" w:sz="0" w:space="0" w:color="auto"/>
                    <w:bottom w:val="none" w:sz="0" w:space="0" w:color="auto"/>
                    <w:right w:val="none" w:sz="0" w:space="0" w:color="auto"/>
                  </w:divBdr>
                  <w:divsChild>
                    <w:div w:id="1441223499">
                      <w:marLeft w:val="0"/>
                      <w:marRight w:val="0"/>
                      <w:marTop w:val="0"/>
                      <w:marBottom w:val="0"/>
                      <w:divBdr>
                        <w:top w:val="none" w:sz="0" w:space="0" w:color="auto"/>
                        <w:left w:val="none" w:sz="0" w:space="0" w:color="auto"/>
                        <w:bottom w:val="none" w:sz="0" w:space="0" w:color="auto"/>
                        <w:right w:val="none" w:sz="0" w:space="0" w:color="auto"/>
                      </w:divBdr>
                    </w:div>
                    <w:div w:id="2111585546">
                      <w:marLeft w:val="0"/>
                      <w:marRight w:val="0"/>
                      <w:marTop w:val="0"/>
                      <w:marBottom w:val="0"/>
                      <w:divBdr>
                        <w:top w:val="none" w:sz="0" w:space="0" w:color="auto"/>
                        <w:left w:val="none" w:sz="0" w:space="0" w:color="auto"/>
                        <w:bottom w:val="none" w:sz="0" w:space="0" w:color="auto"/>
                        <w:right w:val="none" w:sz="0" w:space="0" w:color="auto"/>
                      </w:divBdr>
                    </w:div>
                    <w:div w:id="798769914">
                      <w:marLeft w:val="0"/>
                      <w:marRight w:val="0"/>
                      <w:marTop w:val="0"/>
                      <w:marBottom w:val="0"/>
                      <w:divBdr>
                        <w:top w:val="none" w:sz="0" w:space="0" w:color="auto"/>
                        <w:left w:val="none" w:sz="0" w:space="0" w:color="auto"/>
                        <w:bottom w:val="none" w:sz="0" w:space="0" w:color="auto"/>
                        <w:right w:val="none" w:sz="0" w:space="0" w:color="auto"/>
                      </w:divBdr>
                    </w:div>
                    <w:div w:id="457728132">
                      <w:marLeft w:val="0"/>
                      <w:marRight w:val="0"/>
                      <w:marTop w:val="0"/>
                      <w:marBottom w:val="0"/>
                      <w:divBdr>
                        <w:top w:val="none" w:sz="0" w:space="0" w:color="auto"/>
                        <w:left w:val="none" w:sz="0" w:space="0" w:color="auto"/>
                        <w:bottom w:val="none" w:sz="0" w:space="0" w:color="auto"/>
                        <w:right w:val="none" w:sz="0" w:space="0" w:color="auto"/>
                      </w:divBdr>
                    </w:div>
                    <w:div w:id="1489517904">
                      <w:marLeft w:val="0"/>
                      <w:marRight w:val="0"/>
                      <w:marTop w:val="0"/>
                      <w:marBottom w:val="0"/>
                      <w:divBdr>
                        <w:top w:val="none" w:sz="0" w:space="0" w:color="auto"/>
                        <w:left w:val="none" w:sz="0" w:space="0" w:color="auto"/>
                        <w:bottom w:val="none" w:sz="0" w:space="0" w:color="auto"/>
                        <w:right w:val="none" w:sz="0" w:space="0" w:color="auto"/>
                      </w:divBdr>
                    </w:div>
                    <w:div w:id="903953707">
                      <w:marLeft w:val="0"/>
                      <w:marRight w:val="0"/>
                      <w:marTop w:val="0"/>
                      <w:marBottom w:val="0"/>
                      <w:divBdr>
                        <w:top w:val="none" w:sz="0" w:space="0" w:color="auto"/>
                        <w:left w:val="none" w:sz="0" w:space="0" w:color="auto"/>
                        <w:bottom w:val="none" w:sz="0" w:space="0" w:color="auto"/>
                        <w:right w:val="none" w:sz="0" w:space="0" w:color="auto"/>
                      </w:divBdr>
                    </w:div>
                  </w:divsChild>
                </w:div>
                <w:div w:id="623586354">
                  <w:marLeft w:val="0"/>
                  <w:marRight w:val="0"/>
                  <w:marTop w:val="0"/>
                  <w:marBottom w:val="0"/>
                  <w:divBdr>
                    <w:top w:val="none" w:sz="0" w:space="0" w:color="auto"/>
                    <w:left w:val="none" w:sz="0" w:space="0" w:color="auto"/>
                    <w:bottom w:val="none" w:sz="0" w:space="0" w:color="auto"/>
                    <w:right w:val="none" w:sz="0" w:space="0" w:color="auto"/>
                  </w:divBdr>
                  <w:divsChild>
                    <w:div w:id="1473517679">
                      <w:marLeft w:val="0"/>
                      <w:marRight w:val="0"/>
                      <w:marTop w:val="0"/>
                      <w:marBottom w:val="0"/>
                      <w:divBdr>
                        <w:top w:val="none" w:sz="0" w:space="0" w:color="auto"/>
                        <w:left w:val="none" w:sz="0" w:space="0" w:color="auto"/>
                        <w:bottom w:val="none" w:sz="0" w:space="0" w:color="auto"/>
                        <w:right w:val="none" w:sz="0" w:space="0" w:color="auto"/>
                      </w:divBdr>
                    </w:div>
                    <w:div w:id="2067878425">
                      <w:marLeft w:val="0"/>
                      <w:marRight w:val="0"/>
                      <w:marTop w:val="0"/>
                      <w:marBottom w:val="0"/>
                      <w:divBdr>
                        <w:top w:val="none" w:sz="0" w:space="0" w:color="auto"/>
                        <w:left w:val="none" w:sz="0" w:space="0" w:color="auto"/>
                        <w:bottom w:val="none" w:sz="0" w:space="0" w:color="auto"/>
                        <w:right w:val="none" w:sz="0" w:space="0" w:color="auto"/>
                      </w:divBdr>
                    </w:div>
                    <w:div w:id="857885828">
                      <w:marLeft w:val="0"/>
                      <w:marRight w:val="0"/>
                      <w:marTop w:val="0"/>
                      <w:marBottom w:val="0"/>
                      <w:divBdr>
                        <w:top w:val="none" w:sz="0" w:space="0" w:color="auto"/>
                        <w:left w:val="none" w:sz="0" w:space="0" w:color="auto"/>
                        <w:bottom w:val="none" w:sz="0" w:space="0" w:color="auto"/>
                        <w:right w:val="none" w:sz="0" w:space="0" w:color="auto"/>
                      </w:divBdr>
                    </w:div>
                    <w:div w:id="289553996">
                      <w:marLeft w:val="0"/>
                      <w:marRight w:val="0"/>
                      <w:marTop w:val="0"/>
                      <w:marBottom w:val="0"/>
                      <w:divBdr>
                        <w:top w:val="none" w:sz="0" w:space="0" w:color="auto"/>
                        <w:left w:val="none" w:sz="0" w:space="0" w:color="auto"/>
                        <w:bottom w:val="none" w:sz="0" w:space="0" w:color="auto"/>
                        <w:right w:val="none" w:sz="0" w:space="0" w:color="auto"/>
                      </w:divBdr>
                    </w:div>
                    <w:div w:id="377314394">
                      <w:marLeft w:val="0"/>
                      <w:marRight w:val="0"/>
                      <w:marTop w:val="0"/>
                      <w:marBottom w:val="0"/>
                      <w:divBdr>
                        <w:top w:val="none" w:sz="0" w:space="0" w:color="auto"/>
                        <w:left w:val="none" w:sz="0" w:space="0" w:color="auto"/>
                        <w:bottom w:val="none" w:sz="0" w:space="0" w:color="auto"/>
                        <w:right w:val="none" w:sz="0" w:space="0" w:color="auto"/>
                      </w:divBdr>
                    </w:div>
                    <w:div w:id="2091416631">
                      <w:marLeft w:val="0"/>
                      <w:marRight w:val="0"/>
                      <w:marTop w:val="0"/>
                      <w:marBottom w:val="0"/>
                      <w:divBdr>
                        <w:top w:val="none" w:sz="0" w:space="0" w:color="auto"/>
                        <w:left w:val="none" w:sz="0" w:space="0" w:color="auto"/>
                        <w:bottom w:val="none" w:sz="0" w:space="0" w:color="auto"/>
                        <w:right w:val="none" w:sz="0" w:space="0" w:color="auto"/>
                      </w:divBdr>
                    </w:div>
                    <w:div w:id="1848597847">
                      <w:marLeft w:val="0"/>
                      <w:marRight w:val="0"/>
                      <w:marTop w:val="0"/>
                      <w:marBottom w:val="0"/>
                      <w:divBdr>
                        <w:top w:val="none" w:sz="0" w:space="0" w:color="auto"/>
                        <w:left w:val="none" w:sz="0" w:space="0" w:color="auto"/>
                        <w:bottom w:val="none" w:sz="0" w:space="0" w:color="auto"/>
                        <w:right w:val="none" w:sz="0" w:space="0" w:color="auto"/>
                      </w:divBdr>
                    </w:div>
                    <w:div w:id="1480347127">
                      <w:marLeft w:val="0"/>
                      <w:marRight w:val="0"/>
                      <w:marTop w:val="0"/>
                      <w:marBottom w:val="0"/>
                      <w:divBdr>
                        <w:top w:val="none" w:sz="0" w:space="0" w:color="auto"/>
                        <w:left w:val="none" w:sz="0" w:space="0" w:color="auto"/>
                        <w:bottom w:val="none" w:sz="0" w:space="0" w:color="auto"/>
                        <w:right w:val="none" w:sz="0" w:space="0" w:color="auto"/>
                      </w:divBdr>
                    </w:div>
                  </w:divsChild>
                </w:div>
                <w:div w:id="2168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4980</Words>
  <Characters>29883</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Rogala</dc:creator>
  <cp:keywords/>
  <dc:description/>
  <cp:lastModifiedBy>Magdalena Barwińska</cp:lastModifiedBy>
  <cp:revision>6</cp:revision>
  <dcterms:created xsi:type="dcterms:W3CDTF">2020-01-29T09:26:00Z</dcterms:created>
  <dcterms:modified xsi:type="dcterms:W3CDTF">2020-02-04T11:27:00Z</dcterms:modified>
</cp:coreProperties>
</file>