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5F" w:rsidRPr="00664CF0" w:rsidRDefault="00685B5F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b/>
          <w:color w:val="FF0000"/>
        </w:rPr>
      </w:pPr>
      <w:r w:rsidRPr="006A0678">
        <w:rPr>
          <w:color w:val="000000" w:themeColor="text1"/>
        </w:rPr>
        <w:t xml:space="preserve">Do wniosku: </w:t>
      </w:r>
      <w:r w:rsidR="00664CF0" w:rsidRPr="00664CF0">
        <w:rPr>
          <w:b/>
          <w:color w:val="000000" w:themeColor="text1"/>
        </w:rPr>
        <w:t>Z</w:t>
      </w:r>
      <w:bookmarkStart w:id="0" w:name="_GoBack"/>
      <w:bookmarkEnd w:id="0"/>
      <w:r w:rsidR="00664CF0" w:rsidRPr="00664CF0">
        <w:rPr>
          <w:b/>
          <w:color w:val="000000" w:themeColor="text1"/>
        </w:rPr>
        <w:t>DM/UM/</w:t>
      </w:r>
      <w:r w:rsidR="00664CF0" w:rsidRPr="00664CF0">
        <w:rPr>
          <w:b/>
        </w:rPr>
        <w:t>DZP</w:t>
      </w:r>
      <w:r w:rsidRPr="00664CF0">
        <w:rPr>
          <w:b/>
        </w:rPr>
        <w:t>/</w:t>
      </w:r>
      <w:r w:rsidR="006A0678" w:rsidRPr="00664CF0">
        <w:rPr>
          <w:b/>
        </w:rPr>
        <w:t>300</w:t>
      </w:r>
      <w:r w:rsidRPr="00664CF0">
        <w:rPr>
          <w:b/>
        </w:rPr>
        <w:t>/</w:t>
      </w:r>
      <w:r w:rsidR="00C826E4" w:rsidRPr="00664CF0">
        <w:rPr>
          <w:b/>
        </w:rPr>
        <w:t>A</w:t>
      </w:r>
      <w:r w:rsidR="00F904F1" w:rsidRPr="00664CF0">
        <w:rPr>
          <w:b/>
        </w:rPr>
        <w:t>/2020</w:t>
      </w:r>
    </w:p>
    <w:p w:rsidR="00CD10D7" w:rsidRPr="00CD10D7" w:rsidRDefault="00AD7029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Ogłoszenie </w:t>
      </w:r>
      <w:r w:rsidR="00CD10D7" w:rsidRPr="00CD10D7">
        <w:rPr>
          <w:b/>
          <w:color w:val="000000" w:themeColor="text1"/>
          <w:u w:val="single"/>
        </w:rPr>
        <w:t xml:space="preserve"> – Pełnomocnik ds.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 xml:space="preserve">Zarząd Dróg Miejskich poszukuje osoby na stanowisko Pełnomocnika ds. Ochrony Informacji Niejawnych na </w:t>
      </w:r>
      <w:r w:rsidRPr="00590C4A">
        <w:t>rok 20</w:t>
      </w:r>
      <w:r w:rsidR="00F904F1">
        <w:t>21</w:t>
      </w:r>
      <w:r w:rsidRPr="00590C4A">
        <w:t xml:space="preserve"> z </w:t>
      </w:r>
      <w:r w:rsidRPr="00CD10D7">
        <w:rPr>
          <w:color w:val="000000" w:themeColor="text1"/>
        </w:rPr>
        <w:t>formie umowy zlecenie.</w:t>
      </w:r>
    </w:p>
    <w:p w:rsidR="00CD10D7" w:rsidRPr="00CD10D7" w:rsidRDefault="00CD10D7" w:rsidP="00CD10D7">
      <w:pPr>
        <w:pStyle w:val="Nagwek1"/>
        <w:shd w:val="clear" w:color="auto" w:fill="FFFFFF"/>
        <w:spacing w:before="0" w:after="330"/>
        <w:rPr>
          <w:color w:val="000000" w:themeColor="text1"/>
        </w:rPr>
      </w:pPr>
      <w:r w:rsidRPr="00CD10D7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Głównym  obowiązkiem  stanowiska ds. ochrony informacji niejawnych jest  zapewnienie przestrzegania przepisów o ochronie informacji niejawnych zgodnie z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Ustawą z dnia 5 sierpnia 2010 r. o ochronie informacji niejawnych</w:t>
      </w:r>
      <w:r w:rsidRPr="00CD10D7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4"/>
          <w:szCs w:val="24"/>
        </w:rPr>
        <w:t xml:space="preserve"> 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Dz.U. 20</w:t>
      </w:r>
      <w:r w:rsidR="00590C4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19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 poz. </w:t>
      </w:r>
      <w:r w:rsidR="00590C4A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742</w:t>
      </w:r>
      <w:r w:rsidRPr="00CD10D7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4"/>
          <w:szCs w:val="24"/>
        </w:rPr>
        <w:t>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Wymagania od kandydata na stanowisko Pełnomocnika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1) obywatelstwo polskie;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2) wykształcenie wyższe;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after="0" w:after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 xml:space="preserve">3) ważne co najmniej 2 lata </w:t>
      </w:r>
      <w:hyperlink r:id="rId5" w:tooltip="poświadczenie bezpieczeństwa" w:history="1">
        <w:r w:rsidRPr="00CD10D7">
          <w:rPr>
            <w:rStyle w:val="Hipercze"/>
            <w:color w:val="000000" w:themeColor="text1"/>
            <w:u w:val="none"/>
          </w:rPr>
          <w:t>poświadczenie bezpieczeństwa</w:t>
        </w:r>
      </w:hyperlink>
      <w:r w:rsidRPr="00CD10D7">
        <w:rPr>
          <w:rStyle w:val="apple-converted-space"/>
          <w:color w:val="000000" w:themeColor="text1"/>
        </w:rPr>
        <w:t xml:space="preserve"> o klauzuli </w:t>
      </w:r>
      <w:r w:rsidR="00E46657">
        <w:rPr>
          <w:rStyle w:val="apple-converted-space"/>
          <w:color w:val="000000" w:themeColor="text1"/>
        </w:rPr>
        <w:t xml:space="preserve">POUFNE </w:t>
      </w:r>
      <w:r w:rsidRPr="00CD10D7">
        <w:rPr>
          <w:color w:val="000000" w:themeColor="text1"/>
        </w:rPr>
        <w:t>wydane przez ABW lub SKW,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rPr>
          <w:color w:val="000000" w:themeColor="text1"/>
        </w:rPr>
      </w:pPr>
      <w:r w:rsidRPr="00CD10D7">
        <w:rPr>
          <w:color w:val="000000" w:themeColor="text1"/>
        </w:rPr>
        <w:t>4) ważne zaświadczenie o przeszkoleniu w zakresie ochrony informacji niejawnych.</w:t>
      </w:r>
    </w:p>
    <w:p w:rsidR="00CD10D7" w:rsidRPr="00CD10D7" w:rsidRDefault="00CD10D7" w:rsidP="00CD10D7">
      <w:pPr>
        <w:pStyle w:val="NormalnyWeb"/>
        <w:shd w:val="clear" w:color="auto" w:fill="FFFFFF"/>
        <w:spacing w:before="0" w:beforeAutospacing="0" w:line="220" w:lineRule="atLeast"/>
        <w:jc w:val="both"/>
        <w:rPr>
          <w:rStyle w:val="Pogrubienie"/>
          <w:color w:val="000000" w:themeColor="text1"/>
        </w:rPr>
      </w:pPr>
      <w:r w:rsidRPr="00CD10D7">
        <w:rPr>
          <w:rStyle w:val="Pogrubienie"/>
          <w:color w:val="000000" w:themeColor="text1"/>
        </w:rPr>
        <w:t>Do zadań pełnomocnika ochrony należy: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b/>
          <w:bCs/>
          <w:color w:val="000000" w:themeColor="text1"/>
        </w:rPr>
      </w:pPr>
      <w:r w:rsidRPr="00CD10D7">
        <w:rPr>
          <w:color w:val="000000" w:themeColor="text1"/>
        </w:rPr>
        <w:t>zapewnienie ochrony informacji niejawnych, w tym stosowanie środków bezpieczeństwa fizycznego,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zapewnienie ochrony systemów teleinformatycznych, w których są przetwarzane </w:t>
      </w:r>
      <w:hyperlink r:id="rId6" w:tooltip="informacje" w:history="1">
        <w:r w:rsidRPr="00CD10D7">
          <w:rPr>
            <w:color w:val="000000" w:themeColor="text1"/>
          </w:rPr>
          <w:t>informacje</w:t>
        </w:r>
      </w:hyperlink>
      <w:r w:rsidRPr="00CD10D7">
        <w:rPr>
          <w:color w:val="000000" w:themeColor="text1"/>
        </w:rPr>
        <w:t>  niejawne.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 xml:space="preserve">zarządzanie ryzykiem bezpieczeństwa informacji niejawnych, </w:t>
      </w:r>
      <w:r w:rsidR="006A0678">
        <w:rPr>
          <w:color w:val="000000" w:themeColor="text1"/>
        </w:rPr>
        <w:t xml:space="preserve">                                                             </w:t>
      </w:r>
      <w:r w:rsidRPr="00CD10D7">
        <w:rPr>
          <w:color w:val="000000" w:themeColor="text1"/>
        </w:rPr>
        <w:t>w szczególności </w:t>
      </w:r>
      <w:hyperlink r:id="rId7" w:tooltip="szacowanie ryzyka" w:history="1">
        <w:r w:rsidRPr="00CD10D7">
          <w:rPr>
            <w:color w:val="000000" w:themeColor="text1"/>
          </w:rPr>
          <w:t>szacowanie ryzyka</w:t>
        </w:r>
      </w:hyperlink>
      <w:r w:rsidRPr="00CD10D7">
        <w:rPr>
          <w:color w:val="000000" w:themeColor="text1"/>
        </w:rPr>
        <w:t>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kontrola ochrony informacji niejawnych oraz przestrzegania przepisów o ochronie tych informacji, w szczególności kontrola ewidencji, materiałów i obiegu dokumentów.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planu ochrony informacji niejawnych w jednostce organizacyjnej.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Opracowywanie i aktualizowanie instrukcji dotyczącej sposobu i trybu przetwarzania informacji niejawnych o klauzuli zastrzeżone w ZDM oraz podległych komórkach organizacyjnych oraz zakres i warunki stosowania środków bezpieczeństwa fizycznego w celu ich ochrony.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szkoleń w zakresie ochrony informacji niejawnych.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zwykłych postępowań sprawdzających oraz kontrolnych postępowań sprawdzających.</w:t>
      </w:r>
    </w:p>
    <w:p w:rsidR="00CD10D7" w:rsidRPr="00CD10D7" w:rsidRDefault="00CD10D7" w:rsidP="00CD10D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20" w:lineRule="atLeast"/>
        <w:jc w:val="both"/>
        <w:rPr>
          <w:color w:val="000000" w:themeColor="text1"/>
        </w:rPr>
      </w:pPr>
      <w:r w:rsidRPr="00CD10D7">
        <w:rPr>
          <w:color w:val="000000" w:themeColor="text1"/>
        </w:rPr>
        <w:t>prowadzenie aktualnego wykazu osób zatrudnionych w ZDM albo wykonujących czynności zlecone, które posiadają uprawnienia do dostępu do informacji niejawnych, oraz osób, którym odmówiono wydania poświadczenia bezpieczeństwa lub je cofnięto.</w:t>
      </w:r>
    </w:p>
    <w:p w:rsidR="00CD10D7" w:rsidRPr="00CD10D7" w:rsidRDefault="00CD10D7" w:rsidP="00CD10D7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20" w:lineRule="atLeast"/>
        <w:rPr>
          <w:color w:val="000000" w:themeColor="text1"/>
        </w:rPr>
      </w:pPr>
      <w:r w:rsidRPr="00CD10D7">
        <w:rPr>
          <w:color w:val="000000" w:themeColor="text1"/>
        </w:rPr>
        <w:t>Tworzenia dokumentacji bezpieczeństwa systemów teleinformatycznych przetwarzających</w:t>
      </w:r>
      <w:r w:rsidRPr="00CD10D7">
        <w:rPr>
          <w:rStyle w:val="apple-converted-space"/>
          <w:color w:val="000000" w:themeColor="text1"/>
        </w:rPr>
        <w:t> </w:t>
      </w:r>
      <w:hyperlink r:id="rId8" w:tooltip="Wszystko co chcesz wiedzieć na temat ochrony informacji niejawnych – aktualne przepisy, bezpieczeństwo, zabezpieczenia, dokumentacja bezpieczeństwa&#10;" w:history="1">
        <w:r w:rsidRPr="00CD10D7">
          <w:rPr>
            <w:rStyle w:val="Hipercze"/>
            <w:color w:val="000000" w:themeColor="text1"/>
            <w:u w:val="none"/>
          </w:rPr>
          <w:t>informacje niejawne</w:t>
        </w:r>
      </w:hyperlink>
      <w:r w:rsidRPr="00CD10D7">
        <w:rPr>
          <w:color w:val="000000" w:themeColor="text1"/>
        </w:rPr>
        <w:t>, tj.</w:t>
      </w:r>
      <w:r w:rsidRPr="00CD10D7">
        <w:rPr>
          <w:rStyle w:val="apple-converted-space"/>
          <w:color w:val="000000" w:themeColor="text1"/>
        </w:rPr>
        <w:t> </w:t>
      </w:r>
      <w:hyperlink r:id="rId9" w:tooltip="Zgodnie z art. 60 ust. 2 oraz art. 61 ust. 1 i 3 Ustawy z dnia 22 stycznia 1999 r. o Ochronie Informacji Niejawnych [art. [...]" w:history="1">
        <w:r w:rsidRPr="00CD10D7">
          <w:rPr>
            <w:rStyle w:val="Hipercze"/>
            <w:color w:val="000000" w:themeColor="text1"/>
            <w:u w:val="none"/>
          </w:rPr>
          <w:t>Szczególnych wymagań bezpieczeństwa (SWB)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oraz</w:t>
      </w:r>
      <w:r w:rsidRPr="00CD10D7">
        <w:rPr>
          <w:rStyle w:val="apple-converted-space"/>
          <w:color w:val="000000" w:themeColor="text1"/>
        </w:rPr>
        <w:t> </w:t>
      </w:r>
      <w:hyperlink r:id="rId10" w:tooltip="Zgodnie z art. 60 ust. 2 Ustawy o ochronie informacji niejawnych z dnia 22 stycznia 1999 r. (art. 48 ust. 4 Ustawy o ochronie informacji [...]" w:history="1">
        <w:r w:rsidRPr="00CD10D7">
          <w:rPr>
            <w:rStyle w:val="Hipercze"/>
            <w:color w:val="000000" w:themeColor="text1"/>
            <w:u w:val="none"/>
          </w:rPr>
          <w:t>Procedury bezpiecznej eksploatacji (PBE)</w:t>
        </w:r>
      </w:hyperlink>
      <w:r w:rsidRPr="00CD10D7">
        <w:rPr>
          <w:rStyle w:val="apple-converted-space"/>
          <w:color w:val="000000" w:themeColor="text1"/>
        </w:rPr>
        <w:t> </w:t>
      </w:r>
      <w:r w:rsidRPr="00CD10D7">
        <w:rPr>
          <w:color w:val="000000" w:themeColor="text1"/>
        </w:rPr>
        <w:t>– jeśli występuje potrzeba posiadania systemu teleinformatycznego.</w:t>
      </w:r>
    </w:p>
    <w:p w:rsidR="00D4694D" w:rsidRPr="00CD10D7" w:rsidRDefault="00D4694D">
      <w:pPr>
        <w:rPr>
          <w:color w:val="000000" w:themeColor="text1"/>
        </w:rPr>
      </w:pPr>
    </w:p>
    <w:sectPr w:rsidR="00D4694D" w:rsidRPr="00CD1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FA"/>
    <w:multiLevelType w:val="hybridMultilevel"/>
    <w:tmpl w:val="2E2EE2E6"/>
    <w:lvl w:ilvl="0" w:tplc="9FD684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D7"/>
    <w:rsid w:val="00590C4A"/>
    <w:rsid w:val="00664CF0"/>
    <w:rsid w:val="00685B5F"/>
    <w:rsid w:val="006A0678"/>
    <w:rsid w:val="00A5692C"/>
    <w:rsid w:val="00A810F0"/>
    <w:rsid w:val="00AD7029"/>
    <w:rsid w:val="00C826E4"/>
    <w:rsid w:val="00CD10D7"/>
    <w:rsid w:val="00D204A7"/>
    <w:rsid w:val="00D4694D"/>
    <w:rsid w:val="00E46657"/>
    <w:rsid w:val="00F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D269-ED60-4F85-A7D0-D9377FB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0D7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CD1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D10D7"/>
  </w:style>
  <w:style w:type="character" w:styleId="Hipercze">
    <w:name w:val="Hyperlink"/>
    <w:rsid w:val="00CD10D7"/>
    <w:rPr>
      <w:color w:val="0000FF"/>
      <w:u w:val="single"/>
    </w:rPr>
  </w:style>
  <w:style w:type="character" w:styleId="Pogrubienie">
    <w:name w:val="Strong"/>
    <w:qFormat/>
    <w:rsid w:val="00CD10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eit.com/category/informacje_niejaw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pieczneit.com/tag/szacowanie-ryzy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ieczneit.com/tag/informacj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zpieczneit.com/tag/poswiadczenie-bezpieczenstwa/" TargetMode="External"/><Relationship Id="rId10" Type="http://schemas.openxmlformats.org/officeDocument/2006/relationships/hyperlink" Target="http://www.bezpieczneit.com/dane_osobowe_informacje_niejawne/procedury-bezpiecznej-eksploatacji-p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ieczneit.com/dane_osobowe_informacje_niejawne/szczegolne-wymagania-bezpieczenstwa-sw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Sitarek</dc:creator>
  <cp:keywords/>
  <dc:description/>
  <cp:lastModifiedBy>Magdalena Ulandowska</cp:lastModifiedBy>
  <cp:revision>10</cp:revision>
  <cp:lastPrinted>2020-10-21T11:48:00Z</cp:lastPrinted>
  <dcterms:created xsi:type="dcterms:W3CDTF">2020-12-02T08:54:00Z</dcterms:created>
  <dcterms:modified xsi:type="dcterms:W3CDTF">2020-12-04T13:13:00Z</dcterms:modified>
</cp:coreProperties>
</file>